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E" w:rsidRPr="004872DE" w:rsidRDefault="004872DE" w:rsidP="004872DE">
      <w:pPr>
        <w:rPr>
          <w:rFonts w:ascii="Cambria" w:hAnsi="Cambria"/>
          <w:b/>
          <w:bCs/>
          <w:sz w:val="24"/>
          <w:szCs w:val="24"/>
        </w:rPr>
      </w:pPr>
      <w:r w:rsidRPr="004872DE">
        <w:rPr>
          <w:rFonts w:ascii="Cambria" w:hAnsi="Cambria"/>
          <w:b/>
          <w:bCs/>
          <w:sz w:val="24"/>
          <w:szCs w:val="24"/>
        </w:rPr>
        <w:t>Zák. č. 500/2000 Sb., správní řád</w:t>
      </w:r>
    </w:p>
    <w:p w:rsidR="004872DE" w:rsidRDefault="004872DE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§ 152</w:t>
      </w:r>
    </w:p>
    <w:p w:rsidR="0031424A" w:rsidRPr="0031424A" w:rsidRDefault="0031424A" w:rsidP="0031424A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Rozklad</w:t>
      </w: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p152-1"/>
      <w:bookmarkEnd w:id="0"/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(1)</w:t>
      </w:r>
      <w:r w:rsidRPr="0031424A">
        <w:rPr>
          <w:rFonts w:asciiTheme="majorHAnsi" w:eastAsia="Times New Roman" w:hAnsiTheme="majorHAnsi" w:cs="Arial"/>
          <w:sz w:val="24"/>
          <w:szCs w:val="24"/>
        </w:rPr>
        <w:t> Proti rozhodnutí, které vydal ústřední správní úřad, ministr, státní tajemník ministerstva, nebo vedoucí jiného ústředního správního úřadu v prvním stupni, lze podat rozklad.</w:t>
      </w: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1" w:name="p152-2"/>
      <w:bookmarkEnd w:id="1"/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(2)</w:t>
      </w:r>
      <w:r w:rsidRPr="0031424A">
        <w:rPr>
          <w:rFonts w:asciiTheme="majorHAnsi" w:eastAsia="Times New Roman" w:hAnsiTheme="majorHAnsi" w:cs="Arial"/>
          <w:sz w:val="24"/>
          <w:szCs w:val="24"/>
        </w:rPr>
        <w:t> O rozkladu rozhoduje ministr nebo vedoucí jiného ústředního správního úřadu.</w:t>
      </w: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2" w:name="p152-3"/>
      <w:bookmarkEnd w:id="2"/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(3)</w:t>
      </w:r>
      <w:r w:rsidRPr="0031424A">
        <w:rPr>
          <w:rFonts w:asciiTheme="majorHAnsi" w:eastAsia="Times New Roman" w:hAnsiTheme="majorHAnsi" w:cs="Arial"/>
          <w:sz w:val="24"/>
          <w:szCs w:val="24"/>
        </w:rPr>
        <w:t> Návrh na rozhodnutí podle odstavce 2 předkládá ministrovi nebo vedoucímu jiného ústředního správního úřadu rozkladová komise. Rozkladová komise má nejméně 5 členů. Předsedu a ostatní členy rozkladové komise jmenuje ministr nebo vedoucí jiného ústředního správního úřadu. Většinu členů rozkladové komise tvoří odborníci, kteří nejsou zaměstnanci zařazení do ústředního správního úřadu. Ustanovení </w:t>
      </w:r>
      <w:hyperlink r:id="rId4" w:anchor="f2629407" w:history="1">
        <w:r w:rsidRPr="0031424A">
          <w:rPr>
            <w:rFonts w:asciiTheme="majorHAnsi" w:eastAsia="Times New Roman" w:hAnsiTheme="majorHAnsi" w:cs="Arial"/>
            <w:sz w:val="24"/>
            <w:szCs w:val="24"/>
          </w:rPr>
          <w:t>§ 14</w:t>
        </w:r>
      </w:hyperlink>
      <w:r w:rsidRPr="0031424A">
        <w:rPr>
          <w:rFonts w:asciiTheme="majorHAnsi" w:eastAsia="Times New Roman" w:hAnsiTheme="majorHAnsi" w:cs="Arial"/>
          <w:sz w:val="24"/>
          <w:szCs w:val="24"/>
        </w:rPr>
        <w:t> a </w:t>
      </w:r>
      <w:hyperlink r:id="rId5" w:anchor="f2630221" w:history="1">
        <w:r w:rsidRPr="0031424A">
          <w:rPr>
            <w:rFonts w:asciiTheme="majorHAnsi" w:eastAsia="Times New Roman" w:hAnsiTheme="majorHAnsi" w:cs="Arial"/>
            <w:sz w:val="24"/>
            <w:szCs w:val="24"/>
          </w:rPr>
          <w:t>134</w:t>
        </w:r>
      </w:hyperlink>
      <w:r w:rsidRPr="0031424A">
        <w:rPr>
          <w:rFonts w:asciiTheme="majorHAnsi" w:eastAsia="Times New Roman" w:hAnsiTheme="majorHAnsi" w:cs="Arial"/>
          <w:sz w:val="24"/>
          <w:szCs w:val="24"/>
        </w:rPr>
        <w:t> platí obdobně s tím, že rozkladová komise může jednat a přijímat usnesení v nejméně pětičlenných senátech a že většina přítomných členů musí být odborníci, kteří nejsou zaměstnanci ústředního správního úřadu.</w:t>
      </w: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3" w:name="p152-4"/>
      <w:bookmarkEnd w:id="3"/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(4)</w:t>
      </w:r>
      <w:r w:rsidRPr="0031424A">
        <w:rPr>
          <w:rFonts w:asciiTheme="majorHAnsi" w:eastAsia="Times New Roman" w:hAnsiTheme="majorHAnsi" w:cs="Arial"/>
          <w:sz w:val="24"/>
          <w:szCs w:val="24"/>
        </w:rPr>
        <w:t> Nevylučuje-li to povaha věci, platí pro řízení o rozkladu ustanovení o odvolání.</w:t>
      </w: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4" w:name="p152-5"/>
      <w:bookmarkEnd w:id="4"/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(5)</w:t>
      </w:r>
      <w:r w:rsidRPr="0031424A">
        <w:rPr>
          <w:rFonts w:asciiTheme="majorHAnsi" w:eastAsia="Times New Roman" w:hAnsiTheme="majorHAnsi" w:cs="Arial"/>
          <w:sz w:val="24"/>
          <w:szCs w:val="24"/>
        </w:rPr>
        <w:t> Nestanoví-li zvláštní zákon jinak, lze v řízení o rozkladu</w:t>
      </w: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5" w:name="p152-5-a"/>
      <w:bookmarkEnd w:id="5"/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a)</w:t>
      </w:r>
      <w:r w:rsidRPr="0031424A">
        <w:rPr>
          <w:rFonts w:asciiTheme="majorHAnsi" w:eastAsia="Times New Roman" w:hAnsiTheme="majorHAnsi" w:cs="Arial"/>
          <w:sz w:val="24"/>
          <w:szCs w:val="24"/>
        </w:rPr>
        <w:t> rozhodnutí zrušit nebo změnit, pokud se tím plně vyhoví rozkladu a jestliže tím nemůže být způsobena újma žádnému z účastníků, ledaže s tím všichni, jichž se to týká, vyslovili souhlas, nebo</w:t>
      </w:r>
    </w:p>
    <w:p w:rsidR="0031424A" w:rsidRPr="0031424A" w:rsidRDefault="0031424A" w:rsidP="003142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6" w:name="p152-5-b"/>
      <w:bookmarkEnd w:id="6"/>
      <w:r w:rsidRPr="0031424A">
        <w:rPr>
          <w:rFonts w:asciiTheme="majorHAnsi" w:eastAsia="Times New Roman" w:hAnsiTheme="majorHAnsi" w:cs="Arial"/>
          <w:b/>
          <w:bCs/>
          <w:sz w:val="24"/>
          <w:szCs w:val="24"/>
        </w:rPr>
        <w:t>b)</w:t>
      </w:r>
      <w:r w:rsidRPr="0031424A">
        <w:rPr>
          <w:rFonts w:asciiTheme="majorHAnsi" w:eastAsia="Times New Roman" w:hAnsiTheme="majorHAnsi" w:cs="Arial"/>
          <w:sz w:val="24"/>
          <w:szCs w:val="24"/>
        </w:rPr>
        <w:t> rozklad zamítnout.</w:t>
      </w:r>
    </w:p>
    <w:p w:rsidR="009E1D34" w:rsidRPr="0031424A" w:rsidRDefault="009E1D34">
      <w:pPr>
        <w:rPr>
          <w:rFonts w:asciiTheme="majorHAnsi" w:hAnsiTheme="majorHAnsi"/>
          <w:sz w:val="24"/>
          <w:szCs w:val="24"/>
        </w:rPr>
      </w:pPr>
    </w:p>
    <w:sectPr w:rsidR="009E1D34" w:rsidRPr="0031424A" w:rsidSect="00A2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E59"/>
    <w:rsid w:val="0031424A"/>
    <w:rsid w:val="004872DE"/>
    <w:rsid w:val="009E1D34"/>
    <w:rsid w:val="00A24DB6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B6"/>
  </w:style>
  <w:style w:type="paragraph" w:styleId="Heading3">
    <w:name w:val="heading 3"/>
    <w:basedOn w:val="Normal"/>
    <w:link w:val="Heading3Char"/>
    <w:uiPriority w:val="9"/>
    <w:qFormat/>
    <w:rsid w:val="00314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E59"/>
    <w:rPr>
      <w:b/>
      <w:bCs/>
    </w:rPr>
  </w:style>
  <w:style w:type="character" w:customStyle="1" w:styleId="apple-converted-space">
    <w:name w:val="apple-converted-space"/>
    <w:basedOn w:val="DefaultParagraphFont"/>
    <w:rsid w:val="00F33E59"/>
  </w:style>
  <w:style w:type="character" w:customStyle="1" w:styleId="Heading3Char">
    <w:name w:val="Heading 3 Char"/>
    <w:basedOn w:val="DefaultParagraphFont"/>
    <w:link w:val="Heading3"/>
    <w:uiPriority w:val="9"/>
    <w:rsid w:val="003142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3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">
    <w:name w:val="go"/>
    <w:basedOn w:val="Normal"/>
    <w:rsid w:val="003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3142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4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yprolidi.cz/cs/2004-500" TargetMode="External"/><Relationship Id="rId4" Type="http://schemas.openxmlformats.org/officeDocument/2006/relationships/hyperlink" Target="http://www.zakonyprolidi.cz/cs/2004-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3</cp:revision>
  <dcterms:created xsi:type="dcterms:W3CDTF">2014-03-08T12:46:00Z</dcterms:created>
  <dcterms:modified xsi:type="dcterms:W3CDTF">2014-03-08T12:47:00Z</dcterms:modified>
</cp:coreProperties>
</file>