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605" w:rsidRPr="00A32605" w:rsidRDefault="00A32605" w:rsidP="00A32605">
      <w:pPr>
        <w:pStyle w:val="Nzev"/>
        <w:rPr>
          <w:sz w:val="20"/>
          <w:szCs w:val="20"/>
          <w:lang w:val="en-US"/>
        </w:rPr>
      </w:pPr>
    </w:p>
    <w:p w:rsidR="00A349B7" w:rsidRPr="00A32605" w:rsidRDefault="00A349B7" w:rsidP="00A32605">
      <w:pPr>
        <w:pStyle w:val="Nzev"/>
        <w:rPr>
          <w:sz w:val="40"/>
          <w:szCs w:val="40"/>
          <w:lang w:val="en-US"/>
        </w:rPr>
      </w:pPr>
      <w:r w:rsidRPr="00A32605">
        <w:rPr>
          <w:sz w:val="40"/>
          <w:szCs w:val="40"/>
          <w:lang w:val="en-US"/>
        </w:rPr>
        <w:t xml:space="preserve">Call for Papers – </w:t>
      </w:r>
      <w:r w:rsidR="00A32605">
        <w:rPr>
          <w:sz w:val="40"/>
          <w:szCs w:val="40"/>
          <w:lang w:val="en-US"/>
        </w:rPr>
        <w:t xml:space="preserve">January </w:t>
      </w:r>
      <w:r w:rsidRPr="00A32605">
        <w:rPr>
          <w:sz w:val="40"/>
          <w:szCs w:val="40"/>
          <w:lang w:val="en-US"/>
        </w:rPr>
        <w:t xml:space="preserve">2014 </w:t>
      </w:r>
      <w:r w:rsidR="00A32605">
        <w:rPr>
          <w:sz w:val="40"/>
          <w:szCs w:val="40"/>
          <w:lang w:val="en-US"/>
        </w:rPr>
        <w:br/>
      </w:r>
      <w:r w:rsidRPr="00A32605">
        <w:rPr>
          <w:sz w:val="40"/>
          <w:szCs w:val="40"/>
          <w:lang w:val="en-US"/>
        </w:rPr>
        <w:t>Migration to the Centre International Conference</w:t>
      </w:r>
    </w:p>
    <w:p w:rsidR="00A349B7" w:rsidRPr="003A0383" w:rsidRDefault="00A349B7" w:rsidP="00A349B7">
      <w:pPr>
        <w:rPr>
          <w:b/>
          <w:i/>
          <w:lang w:val="en-US"/>
        </w:rPr>
      </w:pPr>
      <w:r w:rsidRPr="003A0383">
        <w:rPr>
          <w:b/>
          <w:i/>
          <w:lang w:val="en-US"/>
        </w:rPr>
        <w:t>Beyond Borders: Migration and (In</w:t>
      </w:r>
      <w:proofErr w:type="gramStart"/>
      <w:r w:rsidRPr="003A0383">
        <w:rPr>
          <w:b/>
          <w:i/>
          <w:lang w:val="en-US"/>
        </w:rPr>
        <w:t>)Equality</w:t>
      </w:r>
      <w:proofErr w:type="gramEnd"/>
      <w:r w:rsidRPr="003A0383">
        <w:rPr>
          <w:b/>
          <w:i/>
          <w:lang w:val="en-US"/>
        </w:rPr>
        <w:t xml:space="preserve"> in Central Europe in Comparison</w:t>
      </w:r>
    </w:p>
    <w:p w:rsidR="00A349B7" w:rsidRDefault="00A349B7" w:rsidP="00A349B7">
      <w:pPr>
        <w:rPr>
          <w:lang w:val="en-US"/>
        </w:rPr>
      </w:pPr>
      <w:r>
        <w:rPr>
          <w:lang w:val="en-US"/>
        </w:rPr>
        <w:t xml:space="preserve">Faculty of Humanities, Charles University Prague (FHS UK </w:t>
      </w:r>
      <w:proofErr w:type="spellStart"/>
      <w:r>
        <w:rPr>
          <w:lang w:val="en-US"/>
        </w:rPr>
        <w:t>Praha</w:t>
      </w:r>
      <w:proofErr w:type="spellEnd"/>
      <w:r>
        <w:rPr>
          <w:lang w:val="en-US"/>
        </w:rPr>
        <w:t xml:space="preserve">) – </w:t>
      </w:r>
      <w:proofErr w:type="spellStart"/>
      <w:r>
        <w:rPr>
          <w:lang w:val="en-US"/>
        </w:rPr>
        <w:t>Jinonice</w:t>
      </w:r>
      <w:proofErr w:type="spellEnd"/>
      <w:r>
        <w:rPr>
          <w:lang w:val="en-US"/>
        </w:rPr>
        <w:t>, January 23-24, 2014</w:t>
      </w:r>
    </w:p>
    <w:p w:rsidR="00A349B7" w:rsidRDefault="00A349B7" w:rsidP="00A349B7">
      <w:pPr>
        <w:rPr>
          <w:lang w:val="en-US"/>
        </w:rPr>
      </w:pPr>
    </w:p>
    <w:p w:rsidR="00A349B7" w:rsidRDefault="00A349B7" w:rsidP="00A349B7">
      <w:pPr>
        <w:rPr>
          <w:lang w:val="en-US"/>
        </w:rPr>
      </w:pPr>
      <w:r>
        <w:rPr>
          <w:lang w:val="en-US"/>
        </w:rPr>
        <w:t>Multicultural Center Prague invites submission for papers to be given at an international conference as</w:t>
      </w:r>
      <w:r w:rsidRPr="0014654E">
        <w:rPr>
          <w:lang w:val="en-US"/>
        </w:rPr>
        <w:t xml:space="preserve"> part of a transnational project</w:t>
      </w:r>
      <w:r w:rsidR="0057430D">
        <w:rPr>
          <w:lang w:val="en-US"/>
        </w:rPr>
        <w:t xml:space="preserve"> </w:t>
      </w:r>
      <w:r w:rsidRPr="00A349B7">
        <w:rPr>
          <w:i/>
          <w:lang w:val="en-US"/>
        </w:rPr>
        <w:t>Migration to the Centre</w:t>
      </w:r>
      <w:r w:rsidR="0057430D">
        <w:rPr>
          <w:rStyle w:val="Znakapoznpodarou"/>
          <w:i/>
          <w:lang w:val="en-US"/>
        </w:rPr>
        <w:footnoteReference w:id="1"/>
      </w:r>
      <w:r>
        <w:rPr>
          <w:lang w:val="en-US"/>
        </w:rPr>
        <w:t>,</w:t>
      </w:r>
      <w:r w:rsidRPr="0014654E">
        <w:rPr>
          <w:lang w:val="en-US"/>
        </w:rPr>
        <w:t xml:space="preserve"> including the Czech Republic and its</w:t>
      </w:r>
      <w:r w:rsidR="0057430D">
        <w:rPr>
          <w:lang w:val="en-US"/>
        </w:rPr>
        <w:t xml:space="preserve"> Visegrad Group</w:t>
      </w:r>
      <w:r w:rsidRPr="0014654E">
        <w:rPr>
          <w:lang w:val="en-US"/>
        </w:rPr>
        <w:t xml:space="preserve"> partners – Poland, Hungary, Slovenia, and Slovakia represented</w:t>
      </w:r>
      <w:r>
        <w:rPr>
          <w:lang w:val="en-US"/>
        </w:rPr>
        <w:t xml:space="preserve"> by the following institutions: People in Need (CZ), </w:t>
      </w:r>
      <w:r w:rsidR="00C0437E">
        <w:rPr>
          <w:lang w:val="en-US"/>
        </w:rPr>
        <w:t xml:space="preserve">Center for Independent Journalism (HU), The </w:t>
      </w:r>
      <w:r>
        <w:rPr>
          <w:lang w:val="en-US"/>
        </w:rPr>
        <w:t xml:space="preserve">Institute of Public Affairs (PL), </w:t>
      </w:r>
      <w:r w:rsidR="00C0437E">
        <w:rPr>
          <w:lang w:val="en-US"/>
        </w:rPr>
        <w:t xml:space="preserve">The </w:t>
      </w:r>
      <w:r>
        <w:rPr>
          <w:lang w:val="en-US"/>
        </w:rPr>
        <w:t xml:space="preserve">Peace Institute (SLO), and </w:t>
      </w:r>
      <w:r w:rsidR="00C0437E">
        <w:rPr>
          <w:lang w:val="en-US"/>
        </w:rPr>
        <w:t xml:space="preserve">The </w:t>
      </w:r>
      <w:r>
        <w:rPr>
          <w:lang w:val="en-US"/>
        </w:rPr>
        <w:t xml:space="preserve">Human Rights League (SK). </w:t>
      </w:r>
      <w:r w:rsidR="006F1EB8">
        <w:rPr>
          <w:lang w:val="en-US"/>
        </w:rPr>
        <w:t xml:space="preserve">The conference is organized in partnership with the Faculty of Humanities at Charles University in Prague (FHS UK </w:t>
      </w:r>
      <w:proofErr w:type="spellStart"/>
      <w:r w:rsidR="006F1EB8">
        <w:rPr>
          <w:lang w:val="en-US"/>
        </w:rPr>
        <w:t>Praha</w:t>
      </w:r>
      <w:proofErr w:type="spellEnd"/>
      <w:r w:rsidR="006F1EB8">
        <w:rPr>
          <w:lang w:val="en-US"/>
        </w:rPr>
        <w:t>).</w:t>
      </w:r>
    </w:p>
    <w:p w:rsidR="00A349B7" w:rsidRDefault="00A32605" w:rsidP="00A349B7">
      <w:pPr>
        <w:rPr>
          <w:lang w:val="en-US"/>
        </w:rPr>
      </w:pPr>
      <w:r>
        <w:rPr>
          <w:b/>
          <w:lang w:val="en-US"/>
        </w:rPr>
        <w:t>Theme</w:t>
      </w:r>
      <w:r w:rsidRPr="00A32605">
        <w:rPr>
          <w:lang w:val="en-US"/>
        </w:rPr>
        <w:t>:</w:t>
      </w:r>
      <w:r>
        <w:rPr>
          <w:b/>
          <w:lang w:val="en-US"/>
        </w:rPr>
        <w:t xml:space="preserve"> </w:t>
      </w:r>
      <w:r w:rsidR="00A349B7">
        <w:rPr>
          <w:lang w:val="en-US"/>
        </w:rPr>
        <w:t xml:space="preserve">The conference will contribute to the broad range of issues that emerged throughout </w:t>
      </w:r>
      <w:r w:rsidR="00A349B7" w:rsidRPr="00BB7071">
        <w:rPr>
          <w:lang w:val="en-US"/>
        </w:rPr>
        <w:t>the</w:t>
      </w:r>
      <w:r w:rsidR="00A349B7">
        <w:rPr>
          <w:lang w:val="en-US"/>
        </w:rPr>
        <w:t xml:space="preserve"> project relating to immigration within the larger region of Central Europe. These issues include migrants’ entry into and rights within the job market, reunification of migrant families, education and training of international students, migrants’ human rights in the face of state security control, migrant sentiment of belonging to the host society as equals and first class citizens (apolitical citizenship), and migrant health status. All of these pressing topics of contemporary migration have to be contextualized within the framework of ever-changing European Union legislation, the policies of individual states, and the liberal paradox of economic freedom and political control. </w:t>
      </w:r>
    </w:p>
    <w:p w:rsidR="00A349B7" w:rsidRDefault="00A349B7" w:rsidP="00A349B7">
      <w:pPr>
        <w:rPr>
          <w:lang w:val="en-US"/>
        </w:rPr>
      </w:pPr>
      <w:r>
        <w:rPr>
          <w:lang w:val="en-US"/>
        </w:rPr>
        <w:t>Disciplines, institutions, and individuals to whom the invitation extends include, but are not limited to, scholars, analysts, practitioners, state officials, migrants, and activists in the fields of sociology, social work, anthropology, political studies, medicine, governmental institutions, integration centers, and other non-governmental organizations.</w:t>
      </w:r>
    </w:p>
    <w:p w:rsidR="00A349B7" w:rsidRDefault="00A349B7" w:rsidP="00A349B7">
      <w:pPr>
        <w:rPr>
          <w:lang w:val="en-US"/>
        </w:rPr>
      </w:pPr>
      <w:r w:rsidRPr="00A32605">
        <w:rPr>
          <w:b/>
          <w:lang w:val="en-US"/>
        </w:rPr>
        <w:t>Format</w:t>
      </w:r>
      <w:r>
        <w:rPr>
          <w:lang w:val="en-US"/>
        </w:rPr>
        <w:t>: The conference will be divided into two days and five panels (see their detailed description and the</w:t>
      </w:r>
      <w:bookmarkStart w:id="0" w:name="_GoBack"/>
      <w:bookmarkEnd w:id="0"/>
      <w:r>
        <w:rPr>
          <w:lang w:val="en-US"/>
        </w:rPr>
        <w:t xml:space="preserve"> subtopics to each panel below). Each presentation is limited to twenty minutes, and each panel will be followed by comments from an established scholar and a practitioner or migrant worker. There will be two morning sessions each day and two afternoon sessions the first day. One of the afternoon sessions will be a block of three workshops running concurrently. The sessions will be divided by coffee breaks and lunch to provide guests with time to relax and further discuss presented topics. The end of the first day will be closed by a series of short film screenings followed by debate and refreshment in the center of Prague.</w:t>
      </w:r>
    </w:p>
    <w:p w:rsidR="00A349B7" w:rsidRDefault="00A349B7" w:rsidP="00A349B7">
      <w:pPr>
        <w:rPr>
          <w:lang w:val="en-US"/>
        </w:rPr>
      </w:pPr>
      <w:r w:rsidRPr="00A32605">
        <w:rPr>
          <w:b/>
          <w:lang w:val="en-US"/>
        </w:rPr>
        <w:t>Submission</w:t>
      </w:r>
      <w:r>
        <w:rPr>
          <w:lang w:val="en-US"/>
        </w:rPr>
        <w:t xml:space="preserve">: Proposals should be no more than 300 words. Please indicate the panel you want to be reviewed for and the focus of your research topic, the critical/analytical approach that you take toward the research topic, and the significance of your research beyond the academy. In evaluating </w:t>
      </w:r>
      <w:r>
        <w:rPr>
          <w:lang w:val="en-US"/>
        </w:rPr>
        <w:lastRenderedPageBreak/>
        <w:t>proposals, we will give preference to those papers that are well developed and keep a more diverse audience in mind. Financial contribution toward travel and accommodation will be available to selected participants coming from outside Prague. Presenters and authors will be also invited to submit their paper for a collective peer-reviewed volume. Please indicate if you are interested in publishing within this volume.</w:t>
      </w:r>
    </w:p>
    <w:p w:rsidR="00A349B7" w:rsidRDefault="00A349B7" w:rsidP="00A349B7">
      <w:pPr>
        <w:rPr>
          <w:lang w:val="en-US"/>
        </w:rPr>
      </w:pPr>
      <w:r>
        <w:rPr>
          <w:lang w:val="en-US"/>
        </w:rPr>
        <w:t xml:space="preserve">Send your proposal, with a short bio of no more than two pages, to </w:t>
      </w:r>
      <w:hyperlink r:id="rId8" w:history="1">
        <w:r w:rsidRPr="000264FE">
          <w:rPr>
            <w:rStyle w:val="Hypertextovodkaz"/>
            <w:lang w:val="en-US"/>
          </w:rPr>
          <w:t>daniela.penickova@mkc.cz</w:t>
        </w:r>
      </w:hyperlink>
      <w:r>
        <w:rPr>
          <w:rStyle w:val="Hypertextovodkaz"/>
          <w:lang w:val="en-US"/>
        </w:rPr>
        <w:t>.</w:t>
      </w:r>
    </w:p>
    <w:p w:rsidR="00A349B7" w:rsidRDefault="00A349B7" w:rsidP="00A349B7">
      <w:pPr>
        <w:rPr>
          <w:lang w:val="en-US"/>
        </w:rPr>
      </w:pPr>
      <w:r w:rsidRPr="00A32605">
        <w:rPr>
          <w:b/>
          <w:lang w:val="en-US"/>
        </w:rPr>
        <w:t>Deadline</w:t>
      </w:r>
      <w:r>
        <w:rPr>
          <w:lang w:val="en-US"/>
        </w:rPr>
        <w:t>: Proposals must be received by December 1, 2013. Speakers will be notified of the vetting committee’s decision by December 1</w:t>
      </w:r>
      <w:r w:rsidR="006D4C35">
        <w:rPr>
          <w:lang w:val="en-US"/>
        </w:rPr>
        <w:t>0</w:t>
      </w:r>
      <w:r>
        <w:rPr>
          <w:lang w:val="en-US"/>
        </w:rPr>
        <w:t xml:space="preserve">, 2013. Confirmed speakers will be asked to provide the conference organizer with their PowerPoint (or other software) presentation and final draft of their papers by January 10, 2014. </w:t>
      </w:r>
    </w:p>
    <w:p w:rsidR="00A349B7" w:rsidRDefault="00A349B7" w:rsidP="00A349B7">
      <w:pPr>
        <w:rPr>
          <w:lang w:val="en-US"/>
        </w:rPr>
      </w:pPr>
    </w:p>
    <w:p w:rsidR="00A349B7" w:rsidRDefault="00A349B7" w:rsidP="00A349B7">
      <w:pPr>
        <w:rPr>
          <w:lang w:val="en-US"/>
        </w:rPr>
      </w:pPr>
      <w:r>
        <w:rPr>
          <w:lang w:val="en-US"/>
        </w:rPr>
        <w:t>Individual Panel Descriptions:</w:t>
      </w:r>
    </w:p>
    <w:p w:rsidR="00A349B7" w:rsidRPr="00996268" w:rsidRDefault="00A349B7" w:rsidP="00A349B7">
      <w:pPr>
        <w:rPr>
          <w:b/>
          <w:lang w:val="en-US"/>
        </w:rPr>
      </w:pPr>
      <w:r>
        <w:rPr>
          <w:b/>
          <w:lang w:val="en-US"/>
        </w:rPr>
        <w:t xml:space="preserve">Migration, </w:t>
      </w:r>
      <w:r w:rsidRPr="00996268">
        <w:rPr>
          <w:b/>
          <w:lang w:val="en-US"/>
        </w:rPr>
        <w:t>Citizenship and the Politics of Belonging</w:t>
      </w:r>
    </w:p>
    <w:p w:rsidR="00A349B7" w:rsidRDefault="00A349B7" w:rsidP="00A349B7">
      <w:pPr>
        <w:tabs>
          <w:tab w:val="left" w:pos="142"/>
        </w:tabs>
        <w:spacing w:after="0"/>
        <w:contextualSpacing/>
        <w:rPr>
          <w:lang w:val="en-US"/>
        </w:rPr>
      </w:pPr>
      <w:r w:rsidRPr="007A7E3C">
        <w:rPr>
          <w:lang w:val="en-US"/>
        </w:rPr>
        <w:t>This interdisciplinary panel invites papers that investigate the interplay between forms and modes of contemporary citizenship, migration governance</w:t>
      </w:r>
      <w:r>
        <w:rPr>
          <w:lang w:val="en-US"/>
        </w:rPr>
        <w:t>,</w:t>
      </w:r>
      <w:r w:rsidRPr="007A7E3C">
        <w:rPr>
          <w:lang w:val="en-US"/>
        </w:rPr>
        <w:t> and the politics of belonging. We would like to explore the different experiences of citizenship by various groups of citizens based on gender, age, migrant status, class</w:t>
      </w:r>
      <w:r>
        <w:rPr>
          <w:lang w:val="en-US"/>
        </w:rPr>
        <w:t>,</w:t>
      </w:r>
      <w:r w:rsidRPr="007A7E3C">
        <w:rPr>
          <w:lang w:val="en-US"/>
        </w:rPr>
        <w:t xml:space="preserve"> and ethnicity. In particular, we are interested in work that engages</w:t>
      </w:r>
      <w:r>
        <w:rPr>
          <w:lang w:val="en-US"/>
        </w:rPr>
        <w:t xml:space="preserve"> with,</w:t>
      </w:r>
      <w:r w:rsidRPr="007A7E3C">
        <w:rPr>
          <w:lang w:val="en-US"/>
        </w:rPr>
        <w:t xml:space="preserve"> but is not limited to</w:t>
      </w:r>
      <w:r>
        <w:rPr>
          <w:lang w:val="en-US"/>
        </w:rPr>
        <w:t>, the following questions:</w:t>
      </w:r>
      <w:r>
        <w:rPr>
          <w:lang w:val="en-US"/>
        </w:rPr>
        <w:br/>
      </w:r>
      <w:r w:rsidRPr="007A7E3C">
        <w:rPr>
          <w:lang w:val="en-US"/>
        </w:rPr>
        <w:t xml:space="preserve"> </w:t>
      </w:r>
    </w:p>
    <w:p w:rsidR="00A349B7" w:rsidRPr="00A30AC0" w:rsidRDefault="00A349B7" w:rsidP="00A349B7">
      <w:pPr>
        <w:pStyle w:val="Odstavecseseznamem"/>
        <w:numPr>
          <w:ilvl w:val="0"/>
          <w:numId w:val="1"/>
        </w:numPr>
        <w:tabs>
          <w:tab w:val="left" w:pos="142"/>
        </w:tabs>
      </w:pPr>
      <w:r w:rsidRPr="00A30AC0">
        <w:rPr>
          <w:lang w:val="en-US"/>
        </w:rPr>
        <w:t>the re</w:t>
      </w:r>
      <w:r w:rsidRPr="007A7E3C">
        <w:t>-</w:t>
      </w:r>
      <w:r w:rsidRPr="00A30AC0">
        <w:rPr>
          <w:lang w:val="en-US"/>
        </w:rPr>
        <w:t>conceptualization of citizenship theories</w:t>
      </w:r>
    </w:p>
    <w:p w:rsidR="00A349B7" w:rsidRPr="007A7E3C" w:rsidRDefault="00A349B7" w:rsidP="00A349B7">
      <w:pPr>
        <w:pStyle w:val="Odstavecseseznamem"/>
        <w:numPr>
          <w:ilvl w:val="0"/>
          <w:numId w:val="1"/>
        </w:numPr>
        <w:tabs>
          <w:tab w:val="left" w:pos="142"/>
        </w:tabs>
        <w:ind w:left="714" w:hanging="357"/>
      </w:pPr>
      <w:r w:rsidRPr="007A7E3C">
        <w:rPr>
          <w:lang w:val="en-US"/>
        </w:rPr>
        <w:t>the relationship between legal</w:t>
      </w:r>
      <w:r>
        <w:rPr>
          <w:lang w:val="en-US"/>
        </w:rPr>
        <w:t xml:space="preserve"> status, rights, and belonging</w:t>
      </w:r>
    </w:p>
    <w:p w:rsidR="00A349B7" w:rsidRPr="007A7E3C" w:rsidRDefault="00A349B7" w:rsidP="00A349B7">
      <w:pPr>
        <w:pStyle w:val="Odstavecseseznamem"/>
        <w:numPr>
          <w:ilvl w:val="0"/>
          <w:numId w:val="1"/>
        </w:numPr>
        <w:tabs>
          <w:tab w:val="left" w:pos="142"/>
        </w:tabs>
        <w:ind w:left="714" w:hanging="357"/>
      </w:pPr>
      <w:r w:rsidRPr="007A7E3C">
        <w:rPr>
          <w:lang w:val="en-US"/>
        </w:rPr>
        <w:t>the tension in policy and practice between coexisting traditions</w:t>
      </w:r>
      <w:r>
        <w:rPr>
          <w:lang w:val="en-US"/>
        </w:rPr>
        <w:t>,</w:t>
      </w:r>
      <w:r w:rsidRPr="007A7E3C">
        <w:rPr>
          <w:lang w:val="en-US"/>
        </w:rPr>
        <w:t xml:space="preserve"> and regimes of</w:t>
      </w:r>
      <w:r w:rsidRPr="007A7E3C">
        <w:t xml:space="preserve"> </w:t>
      </w:r>
      <w:r>
        <w:rPr>
          <w:lang w:val="en-US"/>
        </w:rPr>
        <w:t>rights</w:t>
      </w:r>
    </w:p>
    <w:p w:rsidR="00A349B7" w:rsidRPr="007A7E3C" w:rsidRDefault="00A349B7" w:rsidP="00A349B7">
      <w:pPr>
        <w:pStyle w:val="Odstavecseseznamem"/>
        <w:numPr>
          <w:ilvl w:val="0"/>
          <w:numId w:val="1"/>
        </w:numPr>
        <w:tabs>
          <w:tab w:val="left" w:pos="142"/>
        </w:tabs>
        <w:ind w:left="714" w:hanging="357"/>
        <w:rPr>
          <w:lang w:val="en-US"/>
        </w:rPr>
      </w:pPr>
      <w:r w:rsidRPr="007A7E3C">
        <w:rPr>
          <w:lang w:val="en-US"/>
        </w:rPr>
        <w:t>the intersection of legal status and race, class, and other social cleavages</w:t>
      </w:r>
    </w:p>
    <w:p w:rsidR="00A349B7" w:rsidRPr="007A7E3C" w:rsidRDefault="00A349B7" w:rsidP="00A349B7">
      <w:pPr>
        <w:pStyle w:val="Odstavecseseznamem"/>
        <w:numPr>
          <w:ilvl w:val="0"/>
          <w:numId w:val="1"/>
        </w:numPr>
        <w:tabs>
          <w:tab w:val="left" w:pos="142"/>
        </w:tabs>
        <w:ind w:left="714" w:hanging="357"/>
        <w:rPr>
          <w:lang w:val="en-US"/>
        </w:rPr>
      </w:pPr>
      <w:r w:rsidRPr="007A7E3C">
        <w:rPr>
          <w:lang w:val="en-US"/>
        </w:rPr>
        <w:t xml:space="preserve">the position of citizen children of undocumented migrant parents, unaccompanied asylum seeking children, people with dual citizenship, ‘failed’ asylum seekers, and stateless people </w:t>
      </w:r>
    </w:p>
    <w:p w:rsidR="00A349B7" w:rsidRPr="007A7E3C" w:rsidRDefault="00A349B7" w:rsidP="00A349B7">
      <w:pPr>
        <w:pStyle w:val="Odstavecseseznamem"/>
        <w:numPr>
          <w:ilvl w:val="0"/>
          <w:numId w:val="1"/>
        </w:numPr>
        <w:tabs>
          <w:tab w:val="left" w:pos="142"/>
        </w:tabs>
        <w:ind w:left="714" w:hanging="357"/>
        <w:rPr>
          <w:lang w:val="en-US"/>
        </w:rPr>
      </w:pPr>
      <w:proofErr w:type="gramStart"/>
      <w:r w:rsidRPr="007A7E3C">
        <w:rPr>
          <w:lang w:val="en-US"/>
        </w:rPr>
        <w:t>migrant</w:t>
      </w:r>
      <w:proofErr w:type="gramEnd"/>
      <w:r w:rsidRPr="007A7E3C">
        <w:rPr>
          <w:lang w:val="en-US"/>
        </w:rPr>
        <w:t xml:space="preserve"> citizenship experiences and its interaction with specific life phases,</w:t>
      </w:r>
      <w:r w:rsidRPr="007A7E3C">
        <w:rPr>
          <w:lang w:val="en-US"/>
        </w:rPr>
        <w:br/>
        <w:t>careers, or status passages.</w:t>
      </w:r>
    </w:p>
    <w:p w:rsidR="00A349B7" w:rsidRDefault="00A349B7" w:rsidP="00A349B7">
      <w:pPr>
        <w:pStyle w:val="FormtovanvHTML"/>
        <w:rPr>
          <w:rFonts w:asciiTheme="minorHAnsi" w:hAnsiTheme="minorHAnsi"/>
          <w:sz w:val="22"/>
          <w:szCs w:val="22"/>
          <w:lang w:val="en-US"/>
        </w:rPr>
      </w:pPr>
    </w:p>
    <w:p w:rsidR="00A349B7" w:rsidRPr="007A7E3C" w:rsidRDefault="00A349B7" w:rsidP="00A349B7">
      <w:pPr>
        <w:pStyle w:val="FormtovanvHTML"/>
        <w:spacing w:after="200"/>
        <w:rPr>
          <w:rFonts w:asciiTheme="minorHAnsi" w:hAnsiTheme="minorHAnsi"/>
          <w:b/>
          <w:sz w:val="22"/>
          <w:szCs w:val="22"/>
          <w:lang w:val="en-US"/>
        </w:rPr>
      </w:pPr>
      <w:r w:rsidRPr="007A7E3C">
        <w:rPr>
          <w:rFonts w:asciiTheme="minorHAnsi" w:hAnsiTheme="minorHAnsi"/>
          <w:b/>
          <w:sz w:val="22"/>
          <w:szCs w:val="22"/>
          <w:lang w:val="en-US"/>
        </w:rPr>
        <w:t>Human Rights in the Context of State Security and Migration Control</w:t>
      </w:r>
    </w:p>
    <w:p w:rsidR="00A349B7" w:rsidRDefault="00A349B7" w:rsidP="00A349B7">
      <w:pPr>
        <w:pStyle w:val="FormtovanvHTML"/>
        <w:spacing w:after="200" w:line="276" w:lineRule="auto"/>
        <w:rPr>
          <w:rFonts w:asciiTheme="minorHAnsi" w:hAnsiTheme="minorHAnsi"/>
          <w:sz w:val="22"/>
          <w:szCs w:val="22"/>
          <w:lang w:val="en-US"/>
        </w:rPr>
      </w:pPr>
      <w:r w:rsidRPr="007A7E3C">
        <w:rPr>
          <w:rFonts w:asciiTheme="minorHAnsi" w:hAnsiTheme="minorHAnsi"/>
          <w:sz w:val="22"/>
          <w:szCs w:val="22"/>
          <w:lang w:val="en-US"/>
        </w:rPr>
        <w:t>Due to the secret</w:t>
      </w:r>
      <w:r>
        <w:rPr>
          <w:rFonts w:asciiTheme="minorHAnsi" w:hAnsiTheme="minorHAnsi"/>
          <w:sz w:val="22"/>
          <w:szCs w:val="22"/>
          <w:lang w:val="en-US"/>
        </w:rPr>
        <w:t>ive</w:t>
      </w:r>
      <w:r w:rsidRPr="007A7E3C">
        <w:rPr>
          <w:rFonts w:asciiTheme="minorHAnsi" w:hAnsiTheme="minorHAnsi"/>
          <w:sz w:val="22"/>
          <w:szCs w:val="22"/>
          <w:lang w:val="en-US"/>
        </w:rPr>
        <w:t xml:space="preserve"> character of</w:t>
      </w:r>
      <w:r>
        <w:rPr>
          <w:rFonts w:asciiTheme="minorHAnsi" w:hAnsiTheme="minorHAnsi"/>
          <w:sz w:val="22"/>
          <w:szCs w:val="22"/>
          <w:lang w:val="en-US"/>
        </w:rPr>
        <w:t xml:space="preserve"> the</w:t>
      </w:r>
      <w:r w:rsidRPr="007A7E3C">
        <w:rPr>
          <w:rFonts w:asciiTheme="minorHAnsi" w:hAnsiTheme="minorHAnsi"/>
          <w:sz w:val="22"/>
          <w:szCs w:val="22"/>
          <w:lang w:val="en-US"/>
        </w:rPr>
        <w:t xml:space="preserve"> functioning of state security</w:t>
      </w:r>
      <w:r>
        <w:rPr>
          <w:rFonts w:asciiTheme="minorHAnsi" w:hAnsiTheme="minorHAnsi"/>
          <w:sz w:val="22"/>
          <w:szCs w:val="22"/>
          <w:lang w:val="en-US"/>
        </w:rPr>
        <w:t xml:space="preserve"> </w:t>
      </w:r>
      <w:r w:rsidRPr="007A7E3C">
        <w:rPr>
          <w:rFonts w:asciiTheme="minorHAnsi" w:hAnsiTheme="minorHAnsi"/>
          <w:sz w:val="22"/>
          <w:szCs w:val="22"/>
          <w:lang w:val="en-US"/>
        </w:rPr>
        <w:t>agencies</w:t>
      </w:r>
      <w:r>
        <w:rPr>
          <w:rFonts w:asciiTheme="minorHAnsi" w:hAnsiTheme="minorHAnsi"/>
          <w:sz w:val="22"/>
          <w:szCs w:val="22"/>
          <w:lang w:val="en-US"/>
        </w:rPr>
        <w:t>,</w:t>
      </w:r>
      <w:r w:rsidRPr="007A7E3C">
        <w:rPr>
          <w:rFonts w:asciiTheme="minorHAnsi" w:hAnsiTheme="minorHAnsi"/>
          <w:sz w:val="22"/>
          <w:szCs w:val="22"/>
          <w:lang w:val="en-US"/>
        </w:rPr>
        <w:t xml:space="preserve"> there is limited information about the way the</w:t>
      </w:r>
      <w:r>
        <w:rPr>
          <w:rFonts w:asciiTheme="minorHAnsi" w:hAnsiTheme="minorHAnsi"/>
          <w:sz w:val="22"/>
          <w:szCs w:val="22"/>
          <w:lang w:val="en-US"/>
        </w:rPr>
        <w:t>y</w:t>
      </w:r>
      <w:r w:rsidRPr="007A7E3C">
        <w:rPr>
          <w:rFonts w:asciiTheme="minorHAnsi" w:hAnsiTheme="minorHAnsi"/>
          <w:sz w:val="22"/>
          <w:szCs w:val="22"/>
          <w:lang w:val="en-US"/>
        </w:rPr>
        <w:t xml:space="preserve"> influenc</w:t>
      </w:r>
      <w:r>
        <w:rPr>
          <w:rFonts w:asciiTheme="minorHAnsi" w:hAnsiTheme="minorHAnsi"/>
          <w:sz w:val="22"/>
          <w:szCs w:val="22"/>
          <w:lang w:val="en-US"/>
        </w:rPr>
        <w:t>e</w:t>
      </w:r>
      <w:r w:rsidRPr="007A7E3C">
        <w:rPr>
          <w:rFonts w:asciiTheme="minorHAnsi" w:hAnsiTheme="minorHAnsi"/>
          <w:sz w:val="22"/>
          <w:szCs w:val="22"/>
          <w:lang w:val="en-US"/>
        </w:rPr>
        <w:t xml:space="preserve"> the</w:t>
      </w:r>
      <w:r>
        <w:rPr>
          <w:rFonts w:asciiTheme="minorHAnsi" w:hAnsiTheme="minorHAnsi"/>
          <w:sz w:val="22"/>
          <w:szCs w:val="22"/>
          <w:lang w:val="en-US"/>
        </w:rPr>
        <w:t xml:space="preserve"> rights of </w:t>
      </w:r>
      <w:r w:rsidRPr="007A7E3C">
        <w:rPr>
          <w:rFonts w:asciiTheme="minorHAnsi" w:hAnsiTheme="minorHAnsi"/>
          <w:sz w:val="22"/>
          <w:szCs w:val="22"/>
          <w:lang w:val="en-US"/>
        </w:rPr>
        <w:t>migrants and asylum seekers. This issue</w:t>
      </w:r>
      <w:r>
        <w:rPr>
          <w:rFonts w:asciiTheme="minorHAnsi" w:hAnsiTheme="minorHAnsi"/>
          <w:sz w:val="22"/>
          <w:szCs w:val="22"/>
          <w:lang w:val="en-US"/>
        </w:rPr>
        <w:t xml:space="preserve"> </w:t>
      </w:r>
      <w:r w:rsidRPr="007A7E3C">
        <w:rPr>
          <w:rFonts w:asciiTheme="minorHAnsi" w:hAnsiTheme="minorHAnsi"/>
          <w:sz w:val="22"/>
          <w:szCs w:val="22"/>
          <w:lang w:val="en-US"/>
        </w:rPr>
        <w:t xml:space="preserve">has </w:t>
      </w:r>
      <w:r>
        <w:rPr>
          <w:rFonts w:asciiTheme="minorHAnsi" w:hAnsiTheme="minorHAnsi"/>
          <w:sz w:val="22"/>
          <w:szCs w:val="22"/>
          <w:lang w:val="en-US"/>
        </w:rPr>
        <w:t xml:space="preserve">become </w:t>
      </w:r>
      <w:r w:rsidRPr="007A7E3C">
        <w:rPr>
          <w:rFonts w:asciiTheme="minorHAnsi" w:hAnsiTheme="minorHAnsi"/>
          <w:sz w:val="22"/>
          <w:szCs w:val="22"/>
          <w:lang w:val="en-US"/>
        </w:rPr>
        <w:t xml:space="preserve">salient in a number of CEE countries </w:t>
      </w:r>
      <w:r>
        <w:rPr>
          <w:rFonts w:asciiTheme="minorHAnsi" w:hAnsiTheme="minorHAnsi"/>
          <w:sz w:val="22"/>
          <w:szCs w:val="22"/>
          <w:lang w:val="en-US"/>
        </w:rPr>
        <w:t xml:space="preserve">in relation to </w:t>
      </w:r>
      <w:r w:rsidRPr="007A7E3C">
        <w:rPr>
          <w:rFonts w:asciiTheme="minorHAnsi" w:hAnsiTheme="minorHAnsi"/>
          <w:sz w:val="22"/>
          <w:szCs w:val="22"/>
          <w:lang w:val="en-US"/>
        </w:rPr>
        <w:t>recent legislative</w:t>
      </w:r>
      <w:r>
        <w:rPr>
          <w:rFonts w:asciiTheme="minorHAnsi" w:hAnsiTheme="minorHAnsi"/>
          <w:sz w:val="22"/>
          <w:szCs w:val="22"/>
          <w:lang w:val="en-US"/>
        </w:rPr>
        <w:t xml:space="preserve"> </w:t>
      </w:r>
      <w:r w:rsidRPr="007A7E3C">
        <w:rPr>
          <w:rFonts w:asciiTheme="minorHAnsi" w:hAnsiTheme="minorHAnsi"/>
          <w:sz w:val="22"/>
          <w:szCs w:val="22"/>
          <w:lang w:val="en-US"/>
        </w:rPr>
        <w:t>changes</w:t>
      </w:r>
      <w:r>
        <w:rPr>
          <w:rFonts w:asciiTheme="minorHAnsi" w:hAnsiTheme="minorHAnsi"/>
          <w:sz w:val="22"/>
          <w:szCs w:val="22"/>
          <w:lang w:val="en-US"/>
        </w:rPr>
        <w:t xml:space="preserve"> that empower institutions, such as the state </w:t>
      </w:r>
      <w:r w:rsidRPr="007A7E3C">
        <w:rPr>
          <w:rFonts w:asciiTheme="minorHAnsi" w:hAnsiTheme="minorHAnsi"/>
          <w:sz w:val="22"/>
          <w:szCs w:val="22"/>
          <w:lang w:val="en-US"/>
        </w:rPr>
        <w:t>infor</w:t>
      </w:r>
      <w:r>
        <w:rPr>
          <w:rFonts w:asciiTheme="minorHAnsi" w:hAnsiTheme="minorHAnsi"/>
          <w:sz w:val="22"/>
          <w:szCs w:val="22"/>
          <w:lang w:val="en-US"/>
        </w:rPr>
        <w:t>mation services, in the decision making process</w:t>
      </w:r>
      <w:r w:rsidRPr="007A7E3C">
        <w:rPr>
          <w:rFonts w:asciiTheme="minorHAnsi" w:hAnsiTheme="minorHAnsi"/>
          <w:sz w:val="22"/>
          <w:szCs w:val="22"/>
          <w:lang w:val="en-US"/>
        </w:rPr>
        <w:t xml:space="preserve"> on</w:t>
      </w:r>
      <w:r>
        <w:rPr>
          <w:rFonts w:asciiTheme="minorHAnsi" w:hAnsiTheme="minorHAnsi"/>
          <w:sz w:val="22"/>
          <w:szCs w:val="22"/>
          <w:lang w:val="en-US"/>
        </w:rPr>
        <w:t xml:space="preserve"> who gets to stay in the country of destination and who may be labeled as </w:t>
      </w:r>
      <w:r w:rsidRPr="007A7E3C">
        <w:rPr>
          <w:rFonts w:asciiTheme="minorHAnsi" w:hAnsiTheme="minorHAnsi"/>
          <w:sz w:val="22"/>
          <w:szCs w:val="22"/>
          <w:lang w:val="en-US"/>
        </w:rPr>
        <w:t>“</w:t>
      </w:r>
      <w:r>
        <w:rPr>
          <w:rFonts w:asciiTheme="minorHAnsi" w:hAnsiTheme="minorHAnsi"/>
          <w:sz w:val="22"/>
          <w:szCs w:val="22"/>
          <w:lang w:val="en-US"/>
        </w:rPr>
        <w:t>questionable” or “</w:t>
      </w:r>
      <w:r w:rsidRPr="007A7E3C">
        <w:rPr>
          <w:rFonts w:asciiTheme="minorHAnsi" w:hAnsiTheme="minorHAnsi"/>
          <w:sz w:val="22"/>
          <w:szCs w:val="22"/>
          <w:lang w:val="en-US"/>
        </w:rPr>
        <w:t>dangerous”</w:t>
      </w:r>
      <w:r>
        <w:rPr>
          <w:rFonts w:asciiTheme="minorHAnsi" w:hAnsiTheme="minorHAnsi"/>
          <w:sz w:val="22"/>
          <w:szCs w:val="22"/>
          <w:lang w:val="en-US"/>
        </w:rPr>
        <w:t xml:space="preserve"> and refused for residency. The functioning of state security agencies also tends to </w:t>
      </w:r>
      <w:r w:rsidRPr="007A7E3C">
        <w:rPr>
          <w:rFonts w:asciiTheme="minorHAnsi" w:hAnsiTheme="minorHAnsi"/>
          <w:sz w:val="22"/>
          <w:szCs w:val="22"/>
          <w:lang w:val="en-US"/>
        </w:rPr>
        <w:t>constrain</w:t>
      </w:r>
      <w:r>
        <w:rPr>
          <w:rFonts w:asciiTheme="minorHAnsi" w:hAnsiTheme="minorHAnsi"/>
          <w:sz w:val="22"/>
          <w:szCs w:val="22"/>
          <w:lang w:val="en-US"/>
        </w:rPr>
        <w:t xml:space="preserve"> the role of </w:t>
      </w:r>
      <w:r w:rsidRPr="007A7E3C">
        <w:rPr>
          <w:rFonts w:asciiTheme="minorHAnsi" w:hAnsiTheme="minorHAnsi"/>
          <w:sz w:val="22"/>
          <w:szCs w:val="22"/>
          <w:lang w:val="en-US"/>
        </w:rPr>
        <w:t>courts in</w:t>
      </w:r>
      <w:r>
        <w:rPr>
          <w:rFonts w:asciiTheme="minorHAnsi" w:hAnsiTheme="minorHAnsi"/>
          <w:sz w:val="22"/>
          <w:szCs w:val="22"/>
          <w:lang w:val="en-US"/>
        </w:rPr>
        <w:t xml:space="preserve"> </w:t>
      </w:r>
      <w:r w:rsidRPr="007A7E3C">
        <w:rPr>
          <w:rFonts w:asciiTheme="minorHAnsi" w:hAnsiTheme="minorHAnsi"/>
          <w:sz w:val="22"/>
          <w:szCs w:val="22"/>
          <w:lang w:val="en-US"/>
        </w:rPr>
        <w:t xml:space="preserve">overseeing such decisions. </w:t>
      </w:r>
      <w:r>
        <w:rPr>
          <w:rFonts w:asciiTheme="minorHAnsi" w:hAnsiTheme="minorHAnsi"/>
          <w:sz w:val="22"/>
          <w:szCs w:val="22"/>
          <w:lang w:val="en-US"/>
        </w:rPr>
        <w:t>This panel thus invites papers that explore these issues, in addition to</w:t>
      </w:r>
      <w:r w:rsidRPr="007A7E3C">
        <w:rPr>
          <w:rFonts w:asciiTheme="minorHAnsi" w:hAnsiTheme="minorHAnsi"/>
          <w:sz w:val="22"/>
          <w:szCs w:val="22"/>
          <w:lang w:val="en-US"/>
        </w:rPr>
        <w:t>:</w:t>
      </w:r>
    </w:p>
    <w:p w:rsidR="00A349B7" w:rsidRDefault="00A349B7" w:rsidP="00A349B7">
      <w:pPr>
        <w:pStyle w:val="FormtovanvHTML"/>
        <w:numPr>
          <w:ilvl w:val="0"/>
          <w:numId w:val="2"/>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lastRenderedPageBreak/>
        <w:t>recent debates on legislative changes pertaining to the role of state security agencies and information services in migration control</w:t>
      </w:r>
    </w:p>
    <w:p w:rsidR="00A349B7" w:rsidRDefault="00A349B7" w:rsidP="00A349B7">
      <w:pPr>
        <w:pStyle w:val="FormtovanvHTML"/>
        <w:numPr>
          <w:ilvl w:val="0"/>
          <w:numId w:val="2"/>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the role of municipal, regional, national, and international courts (such as the European Court of Human Rights and Court of Justice of the EU) in ensuring just practice of state institutions</w:t>
      </w:r>
    </w:p>
    <w:p w:rsidR="00A349B7" w:rsidRDefault="00A349B7" w:rsidP="00A349B7">
      <w:pPr>
        <w:pStyle w:val="FormtovanvHTML"/>
        <w:numPr>
          <w:ilvl w:val="0"/>
          <w:numId w:val="2"/>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cases of violation of human rights by state security agencies and the public’s reaction</w:t>
      </w:r>
    </w:p>
    <w:p w:rsidR="00A349B7" w:rsidRPr="007A7E3C" w:rsidRDefault="00A349B7" w:rsidP="00A349B7">
      <w:pPr>
        <w:pStyle w:val="FormtovanvHTML"/>
        <w:numPr>
          <w:ilvl w:val="0"/>
          <w:numId w:val="2"/>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other impacts and implications of the process of securitization in the EU countries</w:t>
      </w:r>
    </w:p>
    <w:p w:rsidR="00A349B7" w:rsidRPr="007A7E3C" w:rsidRDefault="00A349B7" w:rsidP="00A349B7">
      <w:pPr>
        <w:pStyle w:val="FormtovanvHTML"/>
        <w:rPr>
          <w:rFonts w:asciiTheme="minorHAnsi" w:hAnsiTheme="minorHAnsi"/>
          <w:sz w:val="22"/>
          <w:szCs w:val="22"/>
          <w:lang w:val="en-US"/>
        </w:rPr>
      </w:pPr>
    </w:p>
    <w:p w:rsidR="00A349B7" w:rsidRDefault="00A349B7" w:rsidP="00A349B7">
      <w:pPr>
        <w:pStyle w:val="FormtovanvHTML"/>
        <w:rPr>
          <w:rFonts w:asciiTheme="minorHAnsi" w:hAnsiTheme="minorHAnsi"/>
          <w:sz w:val="22"/>
          <w:szCs w:val="22"/>
          <w:lang w:val="en-US"/>
        </w:rPr>
      </w:pPr>
    </w:p>
    <w:p w:rsidR="00A349B7" w:rsidRPr="00F70774" w:rsidRDefault="00A349B7" w:rsidP="00A349B7">
      <w:pPr>
        <w:pStyle w:val="FormtovanvHTML"/>
        <w:spacing w:after="200"/>
        <w:rPr>
          <w:rFonts w:asciiTheme="minorHAnsi" w:hAnsiTheme="minorHAnsi"/>
          <w:b/>
          <w:sz w:val="22"/>
          <w:szCs w:val="22"/>
          <w:lang w:val="en-US"/>
        </w:rPr>
      </w:pPr>
      <w:r w:rsidRPr="00F70774">
        <w:rPr>
          <w:rFonts w:asciiTheme="minorHAnsi" w:hAnsiTheme="minorHAnsi"/>
          <w:b/>
          <w:sz w:val="22"/>
          <w:szCs w:val="22"/>
          <w:lang w:val="en-US"/>
        </w:rPr>
        <w:t xml:space="preserve">Migrant Workers </w:t>
      </w:r>
      <w:r>
        <w:rPr>
          <w:rFonts w:asciiTheme="minorHAnsi" w:hAnsiTheme="minorHAnsi"/>
          <w:b/>
          <w:sz w:val="22"/>
          <w:szCs w:val="22"/>
          <w:lang w:val="en-US"/>
        </w:rPr>
        <w:t>I</w:t>
      </w:r>
      <w:r w:rsidRPr="00F70774">
        <w:rPr>
          <w:rFonts w:asciiTheme="minorHAnsi" w:hAnsiTheme="minorHAnsi"/>
          <w:b/>
          <w:sz w:val="22"/>
          <w:szCs w:val="22"/>
          <w:lang w:val="en-US"/>
        </w:rPr>
        <w:t>n</w:t>
      </w:r>
      <w:r>
        <w:rPr>
          <w:rFonts w:asciiTheme="minorHAnsi" w:hAnsiTheme="minorHAnsi"/>
          <w:b/>
          <w:sz w:val="22"/>
          <w:szCs w:val="22"/>
          <w:lang w:val="en-US"/>
        </w:rPr>
        <w:t>side</w:t>
      </w:r>
      <w:r w:rsidRPr="00F70774">
        <w:rPr>
          <w:rFonts w:asciiTheme="minorHAnsi" w:hAnsiTheme="minorHAnsi"/>
          <w:b/>
          <w:sz w:val="22"/>
          <w:szCs w:val="22"/>
          <w:lang w:val="en-US"/>
        </w:rPr>
        <w:t xml:space="preserve"> and </w:t>
      </w:r>
      <w:r>
        <w:rPr>
          <w:rFonts w:asciiTheme="minorHAnsi" w:hAnsiTheme="minorHAnsi"/>
          <w:b/>
          <w:sz w:val="22"/>
          <w:szCs w:val="22"/>
          <w:lang w:val="en-US"/>
        </w:rPr>
        <w:t>O</w:t>
      </w:r>
      <w:r w:rsidRPr="00F70774">
        <w:rPr>
          <w:rFonts w:asciiTheme="minorHAnsi" w:hAnsiTheme="minorHAnsi"/>
          <w:b/>
          <w:sz w:val="22"/>
          <w:szCs w:val="22"/>
          <w:lang w:val="en-US"/>
        </w:rPr>
        <w:t>ut</w:t>
      </w:r>
      <w:r>
        <w:rPr>
          <w:rFonts w:asciiTheme="minorHAnsi" w:hAnsiTheme="minorHAnsi"/>
          <w:b/>
          <w:sz w:val="22"/>
          <w:szCs w:val="22"/>
          <w:lang w:val="en-US"/>
        </w:rPr>
        <w:t>side</w:t>
      </w:r>
      <w:r w:rsidRPr="00F70774">
        <w:rPr>
          <w:rFonts w:asciiTheme="minorHAnsi" w:hAnsiTheme="minorHAnsi"/>
          <w:b/>
          <w:sz w:val="22"/>
          <w:szCs w:val="22"/>
          <w:lang w:val="en-US"/>
        </w:rPr>
        <w:t xml:space="preserve"> of the Labor Code: </w:t>
      </w:r>
      <w:r>
        <w:rPr>
          <w:rFonts w:asciiTheme="minorHAnsi" w:hAnsiTheme="minorHAnsi"/>
          <w:b/>
          <w:sz w:val="22"/>
          <w:szCs w:val="22"/>
          <w:lang w:val="en-US"/>
        </w:rPr>
        <w:t>A</w:t>
      </w:r>
      <w:r w:rsidRPr="00F70774">
        <w:rPr>
          <w:rFonts w:asciiTheme="minorHAnsi" w:hAnsiTheme="minorHAnsi"/>
          <w:b/>
          <w:sz w:val="22"/>
          <w:szCs w:val="22"/>
          <w:lang w:val="en-US"/>
        </w:rPr>
        <w:t xml:space="preserve"> Case of </w:t>
      </w:r>
      <w:r>
        <w:rPr>
          <w:rFonts w:asciiTheme="minorHAnsi" w:hAnsiTheme="minorHAnsi"/>
          <w:b/>
          <w:sz w:val="22"/>
          <w:szCs w:val="22"/>
          <w:lang w:val="en-US"/>
        </w:rPr>
        <w:t xml:space="preserve">the </w:t>
      </w:r>
      <w:r w:rsidRPr="00F70774">
        <w:rPr>
          <w:rFonts w:asciiTheme="minorHAnsi" w:hAnsiTheme="minorHAnsi"/>
          <w:b/>
          <w:sz w:val="22"/>
          <w:szCs w:val="22"/>
          <w:lang w:val="en-US"/>
        </w:rPr>
        <w:t>Electronics Industry</w:t>
      </w:r>
    </w:p>
    <w:p w:rsidR="00A349B7" w:rsidRDefault="00A349B7" w:rsidP="00A349B7">
      <w:pPr>
        <w:pStyle w:val="FormtovanvHTML"/>
        <w:spacing w:after="200" w:line="276" w:lineRule="auto"/>
        <w:rPr>
          <w:rFonts w:asciiTheme="minorHAnsi" w:hAnsiTheme="minorHAnsi"/>
          <w:sz w:val="22"/>
          <w:szCs w:val="22"/>
          <w:lang w:val="en-US"/>
        </w:rPr>
      </w:pPr>
      <w:r>
        <w:rPr>
          <w:rFonts w:asciiTheme="minorHAnsi" w:hAnsiTheme="minorHAnsi"/>
          <w:sz w:val="22"/>
          <w:szCs w:val="22"/>
          <w:lang w:val="en-US"/>
        </w:rPr>
        <w:t xml:space="preserve">This panel is centered </w:t>
      </w:r>
      <w:proofErr w:type="gramStart"/>
      <w:r>
        <w:rPr>
          <w:rFonts w:asciiTheme="minorHAnsi" w:hAnsiTheme="minorHAnsi"/>
          <w:sz w:val="22"/>
          <w:szCs w:val="22"/>
          <w:lang w:val="en-US"/>
        </w:rPr>
        <w:t>around</w:t>
      </w:r>
      <w:proofErr w:type="gramEnd"/>
      <w:r>
        <w:rPr>
          <w:rFonts w:asciiTheme="minorHAnsi" w:hAnsiTheme="minorHAnsi"/>
          <w:sz w:val="22"/>
          <w:szCs w:val="22"/>
          <w:lang w:val="en-US"/>
        </w:rPr>
        <w:t xml:space="preserve"> the observation that i</w:t>
      </w:r>
      <w:r w:rsidRPr="007A7E3C">
        <w:rPr>
          <w:rFonts w:asciiTheme="minorHAnsi" w:hAnsiTheme="minorHAnsi"/>
          <w:sz w:val="22"/>
          <w:szCs w:val="22"/>
          <w:lang w:val="en-US"/>
        </w:rPr>
        <w:t>n spite of the economic crisis, manufacturing</w:t>
      </w:r>
      <w:r>
        <w:rPr>
          <w:rFonts w:asciiTheme="minorHAnsi" w:hAnsiTheme="minorHAnsi"/>
          <w:sz w:val="22"/>
          <w:szCs w:val="22"/>
          <w:lang w:val="en-US"/>
        </w:rPr>
        <w:t>,</w:t>
      </w:r>
      <w:r w:rsidRPr="007A7E3C">
        <w:rPr>
          <w:rFonts w:asciiTheme="minorHAnsi" w:hAnsiTheme="minorHAnsi"/>
          <w:sz w:val="22"/>
          <w:szCs w:val="22"/>
          <w:lang w:val="en-US"/>
        </w:rPr>
        <w:t xml:space="preserve"> </w:t>
      </w:r>
      <w:r>
        <w:rPr>
          <w:rFonts w:asciiTheme="minorHAnsi" w:hAnsiTheme="minorHAnsi"/>
          <w:sz w:val="22"/>
          <w:szCs w:val="22"/>
          <w:lang w:val="en-US"/>
        </w:rPr>
        <w:t xml:space="preserve">such as the </w:t>
      </w:r>
      <w:r w:rsidRPr="007A7E3C">
        <w:rPr>
          <w:rFonts w:asciiTheme="minorHAnsi" w:hAnsiTheme="minorHAnsi"/>
          <w:sz w:val="22"/>
          <w:szCs w:val="22"/>
          <w:lang w:val="en-US"/>
        </w:rPr>
        <w:t>electronics industry</w:t>
      </w:r>
      <w:r>
        <w:rPr>
          <w:rFonts w:asciiTheme="minorHAnsi" w:hAnsiTheme="minorHAnsi"/>
          <w:sz w:val="22"/>
          <w:szCs w:val="22"/>
          <w:lang w:val="en-US"/>
        </w:rPr>
        <w:t xml:space="preserve">, </w:t>
      </w:r>
      <w:r w:rsidRPr="007A7E3C">
        <w:rPr>
          <w:rFonts w:asciiTheme="minorHAnsi" w:hAnsiTheme="minorHAnsi"/>
          <w:sz w:val="22"/>
          <w:szCs w:val="22"/>
          <w:lang w:val="en-US"/>
        </w:rPr>
        <w:t>has</w:t>
      </w:r>
      <w:r>
        <w:rPr>
          <w:rFonts w:asciiTheme="minorHAnsi" w:hAnsiTheme="minorHAnsi"/>
          <w:sz w:val="22"/>
          <w:szCs w:val="22"/>
          <w:lang w:val="en-US"/>
        </w:rPr>
        <w:t xml:space="preserve"> </w:t>
      </w:r>
      <w:r w:rsidRPr="007A7E3C">
        <w:rPr>
          <w:rFonts w:asciiTheme="minorHAnsi" w:hAnsiTheme="minorHAnsi"/>
          <w:sz w:val="22"/>
          <w:szCs w:val="22"/>
          <w:lang w:val="en-US"/>
        </w:rPr>
        <w:t>remained an important economic sector of</w:t>
      </w:r>
      <w:r>
        <w:rPr>
          <w:rFonts w:asciiTheme="minorHAnsi" w:hAnsiTheme="minorHAnsi"/>
          <w:sz w:val="22"/>
          <w:szCs w:val="22"/>
          <w:lang w:val="en-US"/>
        </w:rPr>
        <w:t xml:space="preserve"> </w:t>
      </w:r>
      <w:r w:rsidRPr="007A7E3C">
        <w:rPr>
          <w:rFonts w:asciiTheme="minorHAnsi" w:hAnsiTheme="minorHAnsi"/>
          <w:sz w:val="22"/>
          <w:szCs w:val="22"/>
          <w:lang w:val="en-US"/>
        </w:rPr>
        <w:t>employment for migrants in the EU</w:t>
      </w:r>
      <w:r>
        <w:rPr>
          <w:rFonts w:asciiTheme="minorHAnsi" w:hAnsiTheme="minorHAnsi"/>
          <w:sz w:val="22"/>
          <w:szCs w:val="22"/>
          <w:lang w:val="en-US"/>
        </w:rPr>
        <w:t xml:space="preserve"> industrial</w:t>
      </w:r>
      <w:r w:rsidRPr="007A7E3C">
        <w:rPr>
          <w:rFonts w:asciiTheme="minorHAnsi" w:hAnsiTheme="minorHAnsi"/>
          <w:sz w:val="22"/>
          <w:szCs w:val="22"/>
          <w:lang w:val="en-US"/>
        </w:rPr>
        <w:t xml:space="preserve"> peripher</w:t>
      </w:r>
      <w:r>
        <w:rPr>
          <w:rFonts w:asciiTheme="minorHAnsi" w:hAnsiTheme="minorHAnsi"/>
          <w:sz w:val="22"/>
          <w:szCs w:val="22"/>
          <w:lang w:val="en-US"/>
        </w:rPr>
        <w:t>ies</w:t>
      </w:r>
      <w:r w:rsidRPr="007A7E3C">
        <w:rPr>
          <w:rFonts w:asciiTheme="minorHAnsi" w:hAnsiTheme="minorHAnsi"/>
          <w:sz w:val="22"/>
          <w:szCs w:val="22"/>
          <w:lang w:val="en-US"/>
        </w:rPr>
        <w:t xml:space="preserve">. </w:t>
      </w:r>
      <w:r>
        <w:rPr>
          <w:rFonts w:asciiTheme="minorHAnsi" w:hAnsiTheme="minorHAnsi"/>
          <w:sz w:val="22"/>
          <w:szCs w:val="22"/>
          <w:lang w:val="en-US"/>
        </w:rPr>
        <w:t xml:space="preserve">We are seeking papers that discuss </w:t>
      </w:r>
      <w:r w:rsidRPr="007A7E3C">
        <w:rPr>
          <w:rFonts w:asciiTheme="minorHAnsi" w:hAnsiTheme="minorHAnsi"/>
          <w:sz w:val="22"/>
          <w:szCs w:val="22"/>
          <w:lang w:val="en-US"/>
        </w:rPr>
        <w:t>how</w:t>
      </w:r>
      <w:r>
        <w:rPr>
          <w:rFonts w:asciiTheme="minorHAnsi" w:hAnsiTheme="minorHAnsi"/>
          <w:sz w:val="22"/>
          <w:szCs w:val="22"/>
          <w:lang w:val="en-US"/>
        </w:rPr>
        <w:t xml:space="preserve"> </w:t>
      </w:r>
      <w:r w:rsidRPr="007A7E3C">
        <w:rPr>
          <w:rFonts w:asciiTheme="minorHAnsi" w:hAnsiTheme="minorHAnsi"/>
          <w:sz w:val="22"/>
          <w:szCs w:val="22"/>
          <w:lang w:val="en-US"/>
        </w:rPr>
        <w:t xml:space="preserve">specific companies in the CEE countries have managed their </w:t>
      </w:r>
      <w:r>
        <w:rPr>
          <w:rFonts w:asciiTheme="minorHAnsi" w:hAnsiTheme="minorHAnsi"/>
          <w:sz w:val="22"/>
          <w:szCs w:val="22"/>
          <w:lang w:val="en-US"/>
        </w:rPr>
        <w:t>migrant</w:t>
      </w:r>
      <w:r w:rsidRPr="007A7E3C">
        <w:rPr>
          <w:rFonts w:asciiTheme="minorHAnsi" w:hAnsiTheme="minorHAnsi"/>
          <w:sz w:val="22"/>
          <w:szCs w:val="22"/>
          <w:lang w:val="en-US"/>
        </w:rPr>
        <w:t xml:space="preserve"> labor</w:t>
      </w:r>
      <w:r>
        <w:rPr>
          <w:rFonts w:asciiTheme="minorHAnsi" w:hAnsiTheme="minorHAnsi"/>
          <w:sz w:val="22"/>
          <w:szCs w:val="22"/>
          <w:lang w:val="en-US"/>
        </w:rPr>
        <w:t xml:space="preserve"> </w:t>
      </w:r>
      <w:r w:rsidRPr="007A7E3C">
        <w:rPr>
          <w:rFonts w:asciiTheme="minorHAnsi" w:hAnsiTheme="minorHAnsi"/>
          <w:sz w:val="22"/>
          <w:szCs w:val="22"/>
          <w:lang w:val="en-US"/>
        </w:rPr>
        <w:t xml:space="preserve">force in </w:t>
      </w:r>
      <w:r>
        <w:rPr>
          <w:rFonts w:asciiTheme="minorHAnsi" w:hAnsiTheme="minorHAnsi"/>
          <w:sz w:val="22"/>
          <w:szCs w:val="22"/>
          <w:lang w:val="en-US"/>
        </w:rPr>
        <w:t xml:space="preserve">the context of </w:t>
      </w:r>
      <w:r w:rsidRPr="007A7E3C">
        <w:rPr>
          <w:rFonts w:asciiTheme="minorHAnsi" w:hAnsiTheme="minorHAnsi"/>
          <w:sz w:val="22"/>
          <w:szCs w:val="22"/>
          <w:lang w:val="en-US"/>
        </w:rPr>
        <w:t>their business strategies and global productions.</w:t>
      </w:r>
      <w:r>
        <w:rPr>
          <w:rFonts w:asciiTheme="minorHAnsi" w:hAnsiTheme="minorHAnsi"/>
          <w:sz w:val="22"/>
          <w:szCs w:val="22"/>
          <w:lang w:val="en-US"/>
        </w:rPr>
        <w:t xml:space="preserve"> Specifically the papers may discuss the following questions</w:t>
      </w:r>
      <w:r w:rsidRPr="007A7E3C">
        <w:rPr>
          <w:rFonts w:asciiTheme="minorHAnsi" w:hAnsiTheme="minorHAnsi"/>
          <w:sz w:val="22"/>
          <w:szCs w:val="22"/>
          <w:lang w:val="en-US"/>
        </w:rPr>
        <w:t>:</w:t>
      </w:r>
    </w:p>
    <w:p w:rsidR="00A349B7" w:rsidRDefault="00A349B7" w:rsidP="00A349B7">
      <w:pPr>
        <w:pStyle w:val="FormtovanvHTML"/>
        <w:numPr>
          <w:ilvl w:val="0"/>
          <w:numId w:val="3"/>
        </w:numPr>
        <w:spacing w:after="200" w:line="276" w:lineRule="auto"/>
        <w:ind w:left="709" w:hanging="709"/>
        <w:contextualSpacing/>
        <w:rPr>
          <w:rFonts w:asciiTheme="minorHAnsi" w:hAnsiTheme="minorHAnsi"/>
          <w:sz w:val="22"/>
          <w:szCs w:val="22"/>
          <w:lang w:val="en-US"/>
        </w:rPr>
      </w:pPr>
      <w:r>
        <w:rPr>
          <w:rFonts w:asciiTheme="minorHAnsi" w:hAnsiTheme="minorHAnsi"/>
          <w:sz w:val="22"/>
          <w:szCs w:val="22"/>
          <w:lang w:val="en-US"/>
        </w:rPr>
        <w:t xml:space="preserve">What impact do the </w:t>
      </w:r>
      <w:r w:rsidRPr="002944BE">
        <w:rPr>
          <w:rFonts w:asciiTheme="minorHAnsi" w:hAnsiTheme="minorHAnsi"/>
          <w:sz w:val="22"/>
          <w:szCs w:val="22"/>
          <w:lang w:val="en-US"/>
        </w:rPr>
        <w:t>different legal arrangements used to organize flexible production</w:t>
      </w:r>
      <w:r>
        <w:rPr>
          <w:rFonts w:asciiTheme="minorHAnsi" w:hAnsiTheme="minorHAnsi"/>
          <w:sz w:val="22"/>
          <w:szCs w:val="22"/>
          <w:lang w:val="en-US"/>
        </w:rPr>
        <w:t xml:space="preserve"> have on migrant workers? </w:t>
      </w:r>
    </w:p>
    <w:p w:rsidR="00A349B7" w:rsidRDefault="00A349B7" w:rsidP="00A349B7">
      <w:pPr>
        <w:pStyle w:val="FormtovanvHTML"/>
        <w:numPr>
          <w:ilvl w:val="1"/>
          <w:numId w:val="3"/>
        </w:numPr>
        <w:spacing w:after="200" w:line="276" w:lineRule="auto"/>
        <w:contextualSpacing/>
        <w:rPr>
          <w:rFonts w:asciiTheme="minorHAnsi" w:hAnsiTheme="minorHAnsi"/>
          <w:sz w:val="22"/>
          <w:szCs w:val="22"/>
          <w:lang w:val="en-US"/>
        </w:rPr>
      </w:pPr>
      <w:r>
        <w:rPr>
          <w:rFonts w:asciiTheme="minorHAnsi" w:hAnsiTheme="minorHAnsi"/>
          <w:sz w:val="22"/>
          <w:szCs w:val="22"/>
          <w:lang w:val="en-US"/>
        </w:rPr>
        <w:t xml:space="preserve">These arrangements include, but are not limited to: </w:t>
      </w:r>
    </w:p>
    <w:p w:rsidR="00A349B7" w:rsidRDefault="00A349B7" w:rsidP="00A349B7">
      <w:pPr>
        <w:pStyle w:val="FormtovanvHTML"/>
        <w:numPr>
          <w:ilvl w:val="2"/>
          <w:numId w:val="3"/>
        </w:numPr>
        <w:spacing w:after="200" w:line="276" w:lineRule="auto"/>
        <w:contextualSpacing/>
        <w:rPr>
          <w:rFonts w:asciiTheme="minorHAnsi" w:hAnsiTheme="minorHAnsi"/>
          <w:sz w:val="22"/>
          <w:szCs w:val="22"/>
          <w:lang w:val="en-US"/>
        </w:rPr>
      </w:pPr>
      <w:r>
        <w:rPr>
          <w:rFonts w:asciiTheme="minorHAnsi" w:hAnsiTheme="minorHAnsi"/>
          <w:sz w:val="22"/>
          <w:szCs w:val="22"/>
          <w:lang w:val="en-US"/>
        </w:rPr>
        <w:t>T</w:t>
      </w:r>
      <w:r w:rsidRPr="002944BE">
        <w:rPr>
          <w:rFonts w:asciiTheme="minorHAnsi" w:hAnsiTheme="minorHAnsi"/>
          <w:sz w:val="22"/>
          <w:szCs w:val="22"/>
          <w:lang w:val="en-US"/>
        </w:rPr>
        <w:t>emporary contracts</w:t>
      </w:r>
    </w:p>
    <w:p w:rsidR="00A349B7" w:rsidRDefault="00A349B7" w:rsidP="00A349B7">
      <w:pPr>
        <w:pStyle w:val="FormtovanvHTML"/>
        <w:numPr>
          <w:ilvl w:val="2"/>
          <w:numId w:val="3"/>
        </w:numPr>
        <w:spacing w:after="200" w:line="276" w:lineRule="auto"/>
        <w:contextualSpacing/>
        <w:rPr>
          <w:rFonts w:asciiTheme="minorHAnsi" w:hAnsiTheme="minorHAnsi"/>
          <w:sz w:val="22"/>
          <w:szCs w:val="22"/>
          <w:lang w:val="en-US"/>
        </w:rPr>
      </w:pPr>
      <w:r>
        <w:rPr>
          <w:rFonts w:asciiTheme="minorHAnsi" w:hAnsiTheme="minorHAnsi"/>
          <w:sz w:val="22"/>
          <w:szCs w:val="22"/>
          <w:lang w:val="en-US"/>
        </w:rPr>
        <w:t>S</w:t>
      </w:r>
      <w:r w:rsidRPr="002944BE">
        <w:rPr>
          <w:rFonts w:asciiTheme="minorHAnsi" w:hAnsiTheme="minorHAnsi"/>
          <w:sz w:val="22"/>
          <w:szCs w:val="22"/>
          <w:lang w:val="en-US"/>
        </w:rPr>
        <w:t>elf-employed work</w:t>
      </w:r>
    </w:p>
    <w:p w:rsidR="00A349B7" w:rsidRDefault="00A349B7" w:rsidP="00A349B7">
      <w:pPr>
        <w:pStyle w:val="FormtovanvHTML"/>
        <w:numPr>
          <w:ilvl w:val="2"/>
          <w:numId w:val="3"/>
        </w:numPr>
        <w:spacing w:after="200" w:line="276" w:lineRule="auto"/>
        <w:contextualSpacing/>
        <w:rPr>
          <w:rFonts w:asciiTheme="minorHAnsi" w:hAnsiTheme="minorHAnsi"/>
          <w:sz w:val="22"/>
          <w:szCs w:val="22"/>
          <w:lang w:val="en-US"/>
        </w:rPr>
      </w:pPr>
      <w:r>
        <w:rPr>
          <w:rFonts w:asciiTheme="minorHAnsi" w:hAnsiTheme="minorHAnsi"/>
          <w:sz w:val="22"/>
          <w:szCs w:val="22"/>
          <w:lang w:val="en-US"/>
        </w:rPr>
        <w:t>A</w:t>
      </w:r>
      <w:r w:rsidRPr="002944BE">
        <w:rPr>
          <w:rFonts w:asciiTheme="minorHAnsi" w:hAnsiTheme="minorHAnsi"/>
          <w:sz w:val="22"/>
          <w:szCs w:val="22"/>
          <w:lang w:val="en-US"/>
        </w:rPr>
        <w:t xml:space="preserve">gency work </w:t>
      </w:r>
      <w:r>
        <w:rPr>
          <w:rFonts w:asciiTheme="minorHAnsi" w:hAnsiTheme="minorHAnsi"/>
          <w:sz w:val="22"/>
          <w:szCs w:val="22"/>
          <w:lang w:val="en-US"/>
        </w:rPr>
        <w:t xml:space="preserve">and </w:t>
      </w:r>
      <w:r w:rsidRPr="002944BE">
        <w:rPr>
          <w:rFonts w:asciiTheme="minorHAnsi" w:hAnsiTheme="minorHAnsi"/>
          <w:sz w:val="22"/>
          <w:szCs w:val="22"/>
          <w:lang w:val="en-US"/>
        </w:rPr>
        <w:t>other kind of “non-employment” contract</w:t>
      </w:r>
      <w:r>
        <w:rPr>
          <w:rFonts w:asciiTheme="minorHAnsi" w:hAnsiTheme="minorHAnsi"/>
          <w:sz w:val="22"/>
          <w:szCs w:val="22"/>
          <w:lang w:val="en-US"/>
        </w:rPr>
        <w:t>s</w:t>
      </w:r>
    </w:p>
    <w:p w:rsidR="00A349B7" w:rsidRDefault="00A349B7" w:rsidP="00A349B7">
      <w:pPr>
        <w:pStyle w:val="FormtovanvHTML"/>
        <w:numPr>
          <w:ilvl w:val="0"/>
          <w:numId w:val="3"/>
        </w:numPr>
        <w:spacing w:after="200" w:line="276" w:lineRule="auto"/>
        <w:ind w:left="709" w:hanging="709"/>
        <w:contextualSpacing/>
        <w:rPr>
          <w:rFonts w:asciiTheme="minorHAnsi" w:hAnsiTheme="minorHAnsi"/>
          <w:sz w:val="22"/>
          <w:szCs w:val="22"/>
          <w:lang w:val="en-US"/>
        </w:rPr>
      </w:pPr>
      <w:r>
        <w:rPr>
          <w:rFonts w:asciiTheme="minorHAnsi" w:hAnsiTheme="minorHAnsi"/>
          <w:sz w:val="22"/>
          <w:szCs w:val="22"/>
          <w:lang w:val="en-US"/>
        </w:rPr>
        <w:t>What are the interrelations between employment in venues such as the electronics industry and migrants’ legal status?</w:t>
      </w:r>
    </w:p>
    <w:p w:rsidR="00A349B7" w:rsidRDefault="00A349B7" w:rsidP="00A349B7">
      <w:pPr>
        <w:pStyle w:val="FormtovanvHTML"/>
        <w:numPr>
          <w:ilvl w:val="0"/>
          <w:numId w:val="3"/>
        </w:numPr>
        <w:spacing w:after="200" w:line="276" w:lineRule="auto"/>
        <w:ind w:left="709" w:hanging="709"/>
        <w:contextualSpacing/>
        <w:rPr>
          <w:rFonts w:asciiTheme="minorHAnsi" w:hAnsiTheme="minorHAnsi"/>
          <w:sz w:val="22"/>
          <w:szCs w:val="22"/>
          <w:lang w:val="en-US"/>
        </w:rPr>
      </w:pPr>
      <w:r>
        <w:rPr>
          <w:rFonts w:asciiTheme="minorHAnsi" w:hAnsiTheme="minorHAnsi"/>
          <w:sz w:val="22"/>
          <w:szCs w:val="22"/>
          <w:lang w:val="en-US"/>
        </w:rPr>
        <w:t>How has the meaning of “employment” changed in the recent decade from the perspective of migrants, temp agencies, lead contractors, or state control agencies?</w:t>
      </w:r>
    </w:p>
    <w:p w:rsidR="00A349B7" w:rsidRPr="002944BE" w:rsidRDefault="00A349B7" w:rsidP="00A349B7">
      <w:pPr>
        <w:pStyle w:val="FormtovanvHTML"/>
        <w:numPr>
          <w:ilvl w:val="0"/>
          <w:numId w:val="3"/>
        </w:numPr>
        <w:spacing w:after="200" w:line="276" w:lineRule="auto"/>
        <w:ind w:left="709" w:hanging="709"/>
        <w:contextualSpacing/>
        <w:rPr>
          <w:rFonts w:asciiTheme="minorHAnsi" w:hAnsiTheme="minorHAnsi"/>
          <w:sz w:val="22"/>
          <w:szCs w:val="22"/>
          <w:lang w:val="en-US"/>
        </w:rPr>
      </w:pPr>
      <w:r>
        <w:rPr>
          <w:rFonts w:asciiTheme="minorHAnsi" w:hAnsiTheme="minorHAnsi"/>
          <w:sz w:val="22"/>
          <w:szCs w:val="22"/>
          <w:lang w:val="en-US"/>
        </w:rPr>
        <w:t xml:space="preserve">To what extent have the precarious working conditions been generalized? What ways of resistance have there been among migrant workers?  </w:t>
      </w:r>
    </w:p>
    <w:p w:rsidR="00A349B7" w:rsidRPr="007A7E3C" w:rsidRDefault="00A349B7" w:rsidP="00A349B7">
      <w:pPr>
        <w:pStyle w:val="FormtovanvHTML"/>
        <w:spacing w:after="200" w:line="276" w:lineRule="auto"/>
        <w:rPr>
          <w:rFonts w:asciiTheme="minorHAnsi" w:hAnsiTheme="minorHAnsi"/>
          <w:sz w:val="22"/>
          <w:szCs w:val="22"/>
          <w:lang w:val="en-US"/>
        </w:rPr>
      </w:pPr>
    </w:p>
    <w:p w:rsidR="00A349B7" w:rsidRDefault="00A349B7" w:rsidP="00A349B7">
      <w:pPr>
        <w:pStyle w:val="FormtovanvHTML"/>
        <w:spacing w:after="200" w:line="276" w:lineRule="auto"/>
        <w:rPr>
          <w:rFonts w:asciiTheme="minorHAnsi" w:hAnsiTheme="minorHAnsi"/>
          <w:b/>
          <w:sz w:val="22"/>
          <w:szCs w:val="22"/>
          <w:lang w:val="en-US"/>
        </w:rPr>
      </w:pPr>
      <w:r>
        <w:rPr>
          <w:rFonts w:asciiTheme="minorHAnsi" w:hAnsiTheme="minorHAnsi"/>
          <w:b/>
          <w:sz w:val="22"/>
          <w:szCs w:val="22"/>
          <w:lang w:val="en-US"/>
        </w:rPr>
        <w:t>Migration and Health in the European Union</w:t>
      </w:r>
    </w:p>
    <w:p w:rsidR="00A349B7" w:rsidRDefault="00A349B7" w:rsidP="00A349B7">
      <w:pPr>
        <w:pStyle w:val="FormtovanvHTML"/>
        <w:spacing w:after="200" w:line="276" w:lineRule="auto"/>
        <w:rPr>
          <w:rFonts w:asciiTheme="minorHAnsi" w:hAnsiTheme="minorHAnsi"/>
          <w:sz w:val="22"/>
          <w:szCs w:val="22"/>
          <w:lang w:val="en-US"/>
        </w:rPr>
      </w:pPr>
      <w:r>
        <w:rPr>
          <w:rFonts w:asciiTheme="minorHAnsi" w:hAnsiTheme="minorHAnsi"/>
          <w:sz w:val="22"/>
          <w:szCs w:val="22"/>
          <w:lang w:val="en-US"/>
        </w:rPr>
        <w:t xml:space="preserve">While migrants are considered comparatively healthy, they often face particular health challenges and are vulnerable to a number of threats to their physical and mental health. These stem from the fact that communication between healthcare providers and migrant clients often remains poor and health systems are not prepared to adequately respond to the need for culturally-sensitive and responsive care. This panel invites healthcare practitioners and analysts who can contribute to closing the gap presented by eminent lack of data on understanding the migrant health and healthcare conditions in the EU. The topics include, but are not limited to:  </w:t>
      </w:r>
    </w:p>
    <w:p w:rsidR="00A349B7" w:rsidRDefault="00A349B7" w:rsidP="00A349B7">
      <w:pPr>
        <w:pStyle w:val="FormtovanvHTML"/>
        <w:numPr>
          <w:ilvl w:val="0"/>
          <w:numId w:val="4"/>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the phenomenon known as the “healthy migrant effect” and its impact</w:t>
      </w:r>
    </w:p>
    <w:p w:rsidR="00A349B7" w:rsidRDefault="00A349B7" w:rsidP="00A349B7">
      <w:pPr>
        <w:pStyle w:val="FormtovanvHTML"/>
        <w:numPr>
          <w:ilvl w:val="0"/>
          <w:numId w:val="4"/>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increasing efficacy in monitoring migrant health and occupational health</w:t>
      </w:r>
    </w:p>
    <w:p w:rsidR="00A349B7" w:rsidRDefault="00A349B7" w:rsidP="00A349B7">
      <w:pPr>
        <w:pStyle w:val="FormtovanvHTML"/>
        <w:numPr>
          <w:ilvl w:val="0"/>
          <w:numId w:val="4"/>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employment of interpretative and phenomenological approaches in migrant health research</w:t>
      </w:r>
    </w:p>
    <w:p w:rsidR="00A349B7" w:rsidRDefault="00A349B7" w:rsidP="00A349B7">
      <w:pPr>
        <w:pStyle w:val="FormtovanvHTML"/>
        <w:numPr>
          <w:ilvl w:val="0"/>
          <w:numId w:val="4"/>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understanding migrant communicable and non-communicable disease</w:t>
      </w:r>
    </w:p>
    <w:p w:rsidR="00A349B7" w:rsidRDefault="00A349B7" w:rsidP="00A349B7">
      <w:pPr>
        <w:pStyle w:val="FormtovanvHTML"/>
        <w:numPr>
          <w:ilvl w:val="0"/>
          <w:numId w:val="4"/>
        </w:numPr>
        <w:spacing w:after="200" w:line="276" w:lineRule="auto"/>
        <w:ind w:left="714" w:hanging="357"/>
        <w:contextualSpacing/>
        <w:rPr>
          <w:rFonts w:asciiTheme="minorHAnsi" w:hAnsiTheme="minorHAnsi"/>
          <w:sz w:val="22"/>
          <w:szCs w:val="22"/>
          <w:lang w:val="en-US"/>
        </w:rPr>
      </w:pPr>
      <w:r>
        <w:rPr>
          <w:rFonts w:asciiTheme="minorHAnsi" w:hAnsiTheme="minorHAnsi"/>
          <w:sz w:val="22"/>
          <w:szCs w:val="22"/>
          <w:lang w:val="en-US"/>
        </w:rPr>
        <w:t>development and changes in the migrant health policies in Europe</w:t>
      </w:r>
    </w:p>
    <w:p w:rsidR="00EC0AD7" w:rsidRDefault="00EC0AD7" w:rsidP="00EC0AD7">
      <w:pPr>
        <w:pStyle w:val="FormtovanvHTML"/>
        <w:spacing w:after="200" w:line="276" w:lineRule="auto"/>
        <w:ind w:left="714"/>
        <w:contextualSpacing/>
        <w:rPr>
          <w:rFonts w:asciiTheme="minorHAnsi" w:hAnsiTheme="minorHAnsi"/>
          <w:sz w:val="22"/>
          <w:szCs w:val="22"/>
          <w:lang w:val="en-US"/>
        </w:rPr>
      </w:pPr>
    </w:p>
    <w:p w:rsidR="00EC0AD7" w:rsidRDefault="00EC0AD7" w:rsidP="00EC0AD7">
      <w:pPr>
        <w:pStyle w:val="FormtovanvHTML"/>
        <w:spacing w:after="200" w:line="276" w:lineRule="auto"/>
        <w:contextualSpacing/>
        <w:rPr>
          <w:rFonts w:asciiTheme="minorHAnsi" w:hAnsiTheme="minorHAnsi"/>
          <w:sz w:val="22"/>
          <w:szCs w:val="22"/>
          <w:lang w:val="en-US"/>
        </w:rPr>
      </w:pPr>
      <w:r>
        <w:rPr>
          <w:rFonts w:asciiTheme="minorHAnsi" w:hAnsiTheme="minorHAnsi"/>
          <w:sz w:val="22"/>
          <w:szCs w:val="22"/>
          <w:lang w:val="en-US"/>
        </w:rPr>
        <w:t>The conference is sponsored by the EU</w:t>
      </w:r>
      <w:r w:rsidR="00DD7413">
        <w:rPr>
          <w:rFonts w:asciiTheme="minorHAnsi" w:hAnsiTheme="minorHAnsi"/>
          <w:sz w:val="22"/>
          <w:szCs w:val="22"/>
          <w:lang w:val="en-US"/>
        </w:rPr>
        <w:t xml:space="preserve">’s program </w:t>
      </w:r>
      <w:r w:rsidRPr="00DD7413">
        <w:rPr>
          <w:rFonts w:asciiTheme="minorHAnsi" w:hAnsiTheme="minorHAnsi"/>
          <w:i/>
          <w:sz w:val="22"/>
          <w:szCs w:val="22"/>
          <w:lang w:val="en-US"/>
        </w:rPr>
        <w:t>Europe for Citizens</w:t>
      </w:r>
      <w:r w:rsidR="00DD7413">
        <w:rPr>
          <w:rFonts w:asciiTheme="minorHAnsi" w:hAnsiTheme="minorHAnsi"/>
          <w:sz w:val="22"/>
          <w:szCs w:val="22"/>
          <w:lang w:val="en-US"/>
        </w:rPr>
        <w:t xml:space="preserve">, </w:t>
      </w:r>
      <w:r>
        <w:rPr>
          <w:rFonts w:asciiTheme="minorHAnsi" w:hAnsiTheme="minorHAnsi"/>
          <w:sz w:val="22"/>
          <w:szCs w:val="22"/>
          <w:lang w:val="en-US"/>
        </w:rPr>
        <w:t>by the Visegrad Fund</w:t>
      </w:r>
      <w:r w:rsidR="00DD7413">
        <w:rPr>
          <w:rFonts w:asciiTheme="minorHAnsi" w:hAnsiTheme="minorHAnsi"/>
          <w:sz w:val="22"/>
          <w:szCs w:val="22"/>
          <w:lang w:val="en-US"/>
        </w:rPr>
        <w:t>, and by the Ministry of Foreign Affairs of the Czech Republic.</w:t>
      </w:r>
    </w:p>
    <w:p w:rsidR="00EC0AD7" w:rsidRDefault="00EC0AD7" w:rsidP="00EC0AD7">
      <w:pPr>
        <w:pStyle w:val="FormtovanvHTML"/>
        <w:spacing w:after="200" w:line="276" w:lineRule="auto"/>
        <w:ind w:left="714"/>
        <w:contextualSpacing/>
        <w:rPr>
          <w:rFonts w:asciiTheme="minorHAnsi" w:hAnsiTheme="minorHAnsi"/>
          <w:sz w:val="22"/>
          <w:szCs w:val="22"/>
          <w:lang w:val="en-US"/>
        </w:rPr>
      </w:pPr>
    </w:p>
    <w:p w:rsidR="00EC0AD7" w:rsidRDefault="00EC0AD7" w:rsidP="00EC0AD7">
      <w:pPr>
        <w:pStyle w:val="FormtovanvHTML"/>
        <w:spacing w:after="200" w:line="276" w:lineRule="auto"/>
        <w:ind w:left="714"/>
        <w:contextualSpacing/>
        <w:rPr>
          <w:rFonts w:asciiTheme="minorHAnsi" w:hAnsiTheme="minorHAnsi"/>
          <w:sz w:val="22"/>
          <w:szCs w:val="22"/>
          <w:lang w:val="en-US"/>
        </w:rPr>
      </w:pPr>
    </w:p>
    <w:p w:rsidR="00EC0AD7" w:rsidRDefault="00EC0AD7" w:rsidP="00EC0AD7">
      <w:pPr>
        <w:pStyle w:val="FormtovanvHTML"/>
        <w:spacing w:after="200" w:line="276" w:lineRule="auto"/>
        <w:ind w:left="714"/>
        <w:contextualSpacing/>
        <w:rPr>
          <w:rFonts w:asciiTheme="minorHAnsi" w:hAnsiTheme="minorHAnsi"/>
          <w:sz w:val="22"/>
          <w:szCs w:val="22"/>
          <w:lang w:val="en-US"/>
        </w:rPr>
      </w:pPr>
    </w:p>
    <w:p w:rsidR="00EC0AD7" w:rsidRDefault="00EC0AD7" w:rsidP="00EC0AD7">
      <w:pPr>
        <w:pStyle w:val="Default"/>
      </w:pPr>
    </w:p>
    <w:p w:rsidR="00A349B7" w:rsidRPr="007A7E3C" w:rsidRDefault="00EC0AD7" w:rsidP="00A349B7">
      <w:pPr>
        <w:pStyle w:val="FormtovanvHTML"/>
        <w:spacing w:after="200" w:line="276" w:lineRule="auto"/>
        <w:contextualSpacing/>
        <w:rPr>
          <w:rFonts w:asciiTheme="minorHAnsi" w:hAnsiTheme="minorHAnsi"/>
          <w:sz w:val="22"/>
          <w:szCs w:val="22"/>
          <w:lang w:val="en-US"/>
        </w:rPr>
      </w:pPr>
      <w:r>
        <w:t xml:space="preserve"> </w:t>
      </w:r>
    </w:p>
    <w:p w:rsidR="00A349B7" w:rsidRPr="007A7E3C" w:rsidRDefault="00A349B7" w:rsidP="00A349B7">
      <w:pPr>
        <w:tabs>
          <w:tab w:val="left" w:pos="142"/>
        </w:tabs>
        <w:rPr>
          <w:lang w:val="en-US"/>
        </w:rPr>
      </w:pPr>
    </w:p>
    <w:p w:rsidR="00BA5C48" w:rsidRDefault="00BA5C48"/>
    <w:sectPr w:rsidR="00BA5C48" w:rsidSect="00733D56">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36" w:rsidRDefault="00B60B36" w:rsidP="0057430D">
      <w:pPr>
        <w:spacing w:after="0" w:line="240" w:lineRule="auto"/>
      </w:pPr>
      <w:r>
        <w:separator/>
      </w:r>
    </w:p>
  </w:endnote>
  <w:endnote w:type="continuationSeparator" w:id="0">
    <w:p w:rsidR="00B60B36" w:rsidRDefault="00B60B36" w:rsidP="0057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brima">
    <w:altName w:val="Ebrima"/>
    <w:panose1 w:val="02000000000000000000"/>
    <w:charset w:val="EE"/>
    <w:family w:val="auto"/>
    <w:pitch w:val="variable"/>
    <w:sig w:usb0="A000005F" w:usb1="0200004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B8" w:rsidRDefault="00C0437E">
    <w:pPr>
      <w:pStyle w:val="Zpat"/>
    </w:pPr>
    <w:r w:rsidRPr="00C0437E">
      <w:drawing>
        <wp:inline distT="0" distB="0" distL="0" distR="0">
          <wp:extent cx="929720" cy="341906"/>
          <wp:effectExtent l="19050" t="0" r="3730" b="0"/>
          <wp:docPr id="28" name="obrázek 4" descr="S:\Saša\Migration to the Centre\LOGA\eu_flag_europe_for_citizens_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ša\Migration to the Centre\LOGA\eu_flag_europe_for_citizens_en (2).jpg"/>
                  <pic:cNvPicPr>
                    <a:picLocks noChangeAspect="1" noChangeArrowheads="1"/>
                  </pic:cNvPicPr>
                </pic:nvPicPr>
                <pic:blipFill>
                  <a:blip r:embed="rId1"/>
                  <a:srcRect/>
                  <a:stretch>
                    <a:fillRect/>
                  </a:stretch>
                </pic:blipFill>
                <pic:spPr bwMode="auto">
                  <a:xfrm>
                    <a:off x="0" y="0"/>
                    <a:ext cx="931943" cy="342724"/>
                  </a:xfrm>
                  <a:prstGeom prst="rect">
                    <a:avLst/>
                  </a:prstGeom>
                  <a:noFill/>
                  <a:ln w="9525">
                    <a:noFill/>
                    <a:miter lim="800000"/>
                    <a:headEnd/>
                    <a:tailEnd/>
                  </a:ln>
                </pic:spPr>
              </pic:pic>
            </a:graphicData>
          </a:graphic>
        </wp:inline>
      </w:drawing>
    </w:r>
    <w:r>
      <w:t xml:space="preserve">          </w:t>
    </w:r>
    <w:r w:rsidR="005E1BB8" w:rsidRPr="005E1BB8">
      <w:drawing>
        <wp:inline distT="0" distB="0" distL="0" distR="0">
          <wp:extent cx="1209675" cy="503106"/>
          <wp:effectExtent l="19050" t="0" r="9525" b="0"/>
          <wp:docPr id="1" name="obrázek 3" descr="S:\Saša\Migration to the Centre\LOGA\visegrad_fund_logo_blu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ša\Migration to the Centre\LOGA\visegrad_fund_logo_blue_web.jpg"/>
                  <pic:cNvPicPr>
                    <a:picLocks noChangeAspect="1" noChangeArrowheads="1"/>
                  </pic:cNvPicPr>
                </pic:nvPicPr>
                <pic:blipFill>
                  <a:blip r:embed="rId2"/>
                  <a:srcRect/>
                  <a:stretch>
                    <a:fillRect/>
                  </a:stretch>
                </pic:blipFill>
                <pic:spPr bwMode="auto">
                  <a:xfrm>
                    <a:off x="0" y="0"/>
                    <a:ext cx="1209675" cy="503106"/>
                  </a:xfrm>
                  <a:prstGeom prst="rect">
                    <a:avLst/>
                  </a:prstGeom>
                  <a:noFill/>
                  <a:ln w="9525">
                    <a:noFill/>
                    <a:miter lim="800000"/>
                    <a:headEnd/>
                    <a:tailEnd/>
                  </a:ln>
                </pic:spPr>
              </pic:pic>
            </a:graphicData>
          </a:graphic>
        </wp:inline>
      </w:drawing>
    </w:r>
    <w:r>
      <w:t xml:space="preserve">        </w:t>
    </w:r>
    <w:r w:rsidR="005E1BB8">
      <w:t xml:space="preserve">      </w:t>
    </w:r>
    <w:r w:rsidR="005E1BB8" w:rsidRPr="005E1BB8">
      <w:drawing>
        <wp:inline distT="0" distB="0" distL="0" distR="0">
          <wp:extent cx="1514475" cy="424053"/>
          <wp:effectExtent l="0" t="0" r="0" b="0"/>
          <wp:docPr id="2" name="obrázek 4" descr="S:\Saša\Migration to the Centre\LOGA\MZV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ša\Migration to the Centre\LOGA\MZV_logo.gif"/>
                  <pic:cNvPicPr>
                    <a:picLocks noChangeAspect="1" noChangeArrowheads="1"/>
                  </pic:cNvPicPr>
                </pic:nvPicPr>
                <pic:blipFill>
                  <a:blip r:embed="rId3"/>
                  <a:srcRect/>
                  <a:stretch>
                    <a:fillRect/>
                  </a:stretch>
                </pic:blipFill>
                <pic:spPr bwMode="auto">
                  <a:xfrm>
                    <a:off x="0" y="0"/>
                    <a:ext cx="1517554" cy="424915"/>
                  </a:xfrm>
                  <a:prstGeom prst="rect">
                    <a:avLst/>
                  </a:prstGeom>
                  <a:noFill/>
                  <a:ln w="9525">
                    <a:noFill/>
                    <a:miter lim="800000"/>
                    <a:headEnd/>
                    <a:tailEnd/>
                  </a:ln>
                </pic:spPr>
              </pic:pic>
            </a:graphicData>
          </a:graphic>
        </wp:inline>
      </w:drawing>
    </w:r>
    <w:r w:rsidR="005E1BB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36" w:rsidRDefault="00B60B36" w:rsidP="0057430D">
      <w:pPr>
        <w:spacing w:after="0" w:line="240" w:lineRule="auto"/>
      </w:pPr>
      <w:r>
        <w:separator/>
      </w:r>
    </w:p>
  </w:footnote>
  <w:footnote w:type="continuationSeparator" w:id="0">
    <w:p w:rsidR="00B60B36" w:rsidRDefault="00B60B36" w:rsidP="0057430D">
      <w:pPr>
        <w:spacing w:after="0" w:line="240" w:lineRule="auto"/>
      </w:pPr>
      <w:r>
        <w:continuationSeparator/>
      </w:r>
    </w:p>
  </w:footnote>
  <w:footnote w:id="1">
    <w:p w:rsidR="0057430D" w:rsidRDefault="0057430D">
      <w:pPr>
        <w:pStyle w:val="Textpoznpodarou"/>
      </w:pPr>
      <w:r>
        <w:rPr>
          <w:rStyle w:val="Znakapoznpodarou"/>
        </w:rPr>
        <w:footnoteRef/>
      </w:r>
      <w:r>
        <w:t xml:space="preserve"> </w:t>
      </w:r>
      <w:proofErr w:type="spellStart"/>
      <w:r>
        <w:t>Find</w:t>
      </w:r>
      <w:proofErr w:type="spellEnd"/>
      <w:r>
        <w:t xml:space="preserve"> </w:t>
      </w:r>
      <w:proofErr w:type="spellStart"/>
      <w:r>
        <w:t>detailed</w:t>
      </w:r>
      <w:proofErr w:type="spellEnd"/>
      <w:r>
        <w:t xml:space="preserve"> </w:t>
      </w:r>
      <w:proofErr w:type="spellStart"/>
      <w:r>
        <w:t>information</w:t>
      </w:r>
      <w:proofErr w:type="spellEnd"/>
      <w:r>
        <w:t xml:space="preserve"> </w:t>
      </w:r>
      <w:proofErr w:type="spellStart"/>
      <w:r>
        <w:t>about</w:t>
      </w:r>
      <w:proofErr w:type="spellEnd"/>
      <w:r>
        <w:t xml:space="preserve"> </w:t>
      </w:r>
      <w:proofErr w:type="spellStart"/>
      <w:r>
        <w:t>the</w:t>
      </w:r>
      <w:proofErr w:type="spellEnd"/>
      <w:r>
        <w:t xml:space="preserve"> </w:t>
      </w:r>
      <w:proofErr w:type="spellStart"/>
      <w:r>
        <w:t>project</w:t>
      </w:r>
      <w:proofErr w:type="spellEnd"/>
      <w:r>
        <w:t xml:space="preserve"> </w:t>
      </w:r>
      <w:proofErr w:type="spellStart"/>
      <w:r>
        <w:t>at</w:t>
      </w:r>
      <w:proofErr w:type="spellEnd"/>
      <w:r>
        <w:t>: http://migrationtothecentre.migraceonline.cz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D6" w:rsidRPr="004326D6" w:rsidRDefault="007A0CBB" w:rsidP="004326D6">
    <w:pPr>
      <w:rPr>
        <w:rFonts w:ascii="Times New Roman" w:eastAsia="Times New Roman" w:hAnsi="Times New Roman" w:cs="Times New Roman"/>
        <w:sz w:val="24"/>
        <w:szCs w:val="24"/>
        <w:lang w:eastAsia="cs-CZ"/>
      </w:rPr>
    </w:pPr>
    <w:r>
      <w:rPr>
        <w:noProof/>
        <w:lang w:eastAsia="cs-CZ"/>
      </w:rPr>
      <w:drawing>
        <wp:anchor distT="0" distB="0" distL="0" distR="0" simplePos="0" relativeHeight="251659264" behindDoc="0" locked="0" layoutInCell="1" allowOverlap="0">
          <wp:simplePos x="0" y="0"/>
          <wp:positionH relativeFrom="column">
            <wp:posOffset>4156710</wp:posOffset>
          </wp:positionH>
          <wp:positionV relativeFrom="line">
            <wp:posOffset>177165</wp:posOffset>
          </wp:positionV>
          <wp:extent cx="880745" cy="388620"/>
          <wp:effectExtent l="19050" t="0" r="0" b="0"/>
          <wp:wrapSquare wrapText="bothSides"/>
          <wp:docPr id="27" name="obrázek 2" descr="Instytut Spraw Publicznych">
            <a:hlinkClick xmlns:a="http://schemas.openxmlformats.org/drawingml/2006/main" r:id="rId1" tooltip="&quot;Instytut Spraw Publiczny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ytut Spraw Publicznych">
                    <a:hlinkClick r:id="rId1" tooltip="&quot;Instytut Spraw Publicznych&quot;"/>
                  </pic:cNvPr>
                  <pic:cNvPicPr>
                    <a:picLocks noChangeAspect="1" noChangeArrowheads="1"/>
                  </pic:cNvPicPr>
                </pic:nvPicPr>
                <pic:blipFill>
                  <a:blip r:embed="rId2"/>
                  <a:srcRect/>
                  <a:stretch>
                    <a:fillRect/>
                  </a:stretch>
                </pic:blipFill>
                <pic:spPr bwMode="auto">
                  <a:xfrm>
                    <a:off x="0" y="0"/>
                    <a:ext cx="880745" cy="388620"/>
                  </a:xfrm>
                  <a:prstGeom prst="rect">
                    <a:avLst/>
                  </a:prstGeom>
                  <a:noFill/>
                  <a:ln w="9525">
                    <a:noFill/>
                    <a:miter lim="800000"/>
                    <a:headEnd/>
                    <a:tailEnd/>
                  </a:ln>
                </pic:spPr>
              </pic:pic>
            </a:graphicData>
          </a:graphic>
        </wp:anchor>
      </w:drawing>
    </w:r>
    <w:r w:rsidR="00C15810" w:rsidRPr="00210C03">
      <w:rPr>
        <w:noProof/>
        <w:lang w:eastAsia="cs-CZ"/>
      </w:rPr>
      <w:drawing>
        <wp:inline distT="0" distB="0" distL="0" distR="0">
          <wp:extent cx="1396283" cy="240732"/>
          <wp:effectExtent l="19050" t="0" r="0" b="0"/>
          <wp:docPr id="3" name="obrázek 2" descr="S:\Saša\Migration to the Centre\LOGA\MIGC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ša\Migration to the Centre\LOGA\MIGCEN_logo.jpg"/>
                  <pic:cNvPicPr>
                    <a:picLocks noChangeAspect="1" noChangeArrowheads="1"/>
                  </pic:cNvPicPr>
                </pic:nvPicPr>
                <pic:blipFill>
                  <a:blip r:embed="rId3"/>
                  <a:srcRect/>
                  <a:stretch>
                    <a:fillRect/>
                  </a:stretch>
                </pic:blipFill>
                <pic:spPr bwMode="auto">
                  <a:xfrm>
                    <a:off x="0" y="0"/>
                    <a:ext cx="1415647" cy="244071"/>
                  </a:xfrm>
                  <a:prstGeom prst="rect">
                    <a:avLst/>
                  </a:prstGeom>
                  <a:noFill/>
                  <a:ln w="9525">
                    <a:noFill/>
                    <a:miter lim="800000"/>
                    <a:headEnd/>
                    <a:tailEnd/>
                  </a:ln>
                </pic:spPr>
              </pic:pic>
            </a:graphicData>
          </a:graphic>
        </wp:inline>
      </w:drawing>
    </w:r>
    <w:r w:rsidR="00C15810">
      <w:t xml:space="preserve">    </w:t>
    </w:r>
    <w:r w:rsidR="005E1BB8">
      <w:rPr>
        <w:noProof/>
        <w:lang w:eastAsia="cs-CZ"/>
      </w:rPr>
      <w:drawing>
        <wp:inline distT="0" distB="0" distL="0" distR="0">
          <wp:extent cx="489834" cy="481449"/>
          <wp:effectExtent l="19050" t="0" r="5466" b="0"/>
          <wp:docPr id="14" name="obrázek 2" descr="S:\Saša\Migration to the Centre\LOGA\logo-clovek-v-tis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ša\Migration to the Centre\LOGA\logo-clovek-v-tisni.gif"/>
                  <pic:cNvPicPr>
                    <a:picLocks noChangeAspect="1" noChangeArrowheads="1"/>
                  </pic:cNvPicPr>
                </pic:nvPicPr>
                <pic:blipFill>
                  <a:blip r:embed="rId4"/>
                  <a:srcRect/>
                  <a:stretch>
                    <a:fillRect/>
                  </a:stretch>
                </pic:blipFill>
                <pic:spPr bwMode="auto">
                  <a:xfrm>
                    <a:off x="0" y="0"/>
                    <a:ext cx="493168" cy="484726"/>
                  </a:xfrm>
                  <a:prstGeom prst="rect">
                    <a:avLst/>
                  </a:prstGeom>
                  <a:noFill/>
                  <a:ln w="9525">
                    <a:noFill/>
                    <a:miter lim="800000"/>
                    <a:headEnd/>
                    <a:tailEnd/>
                  </a:ln>
                </pic:spPr>
              </pic:pic>
            </a:graphicData>
          </a:graphic>
        </wp:inline>
      </w:drawing>
    </w:r>
    <w:r w:rsidR="00C15810">
      <w:t xml:space="preserve"> </w:t>
    </w:r>
    <w:r w:rsidR="005E1BB8">
      <w:t xml:space="preserve">  </w:t>
    </w:r>
    <w:r>
      <w:t xml:space="preserve">  </w:t>
    </w:r>
    <w:r w:rsidR="005E1BB8">
      <w:t xml:space="preserve"> </w:t>
    </w:r>
    <w:r w:rsidRPr="007A0CBB">
      <w:drawing>
        <wp:inline distT="0" distB="0" distL="0" distR="0">
          <wp:extent cx="1328124" cy="270345"/>
          <wp:effectExtent l="19050" t="0" r="5376" b="0"/>
          <wp:docPr id="23" name="obrázek 8" descr="http://www.mirovni-institut.si/images/logo_en.png">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rovni-institut.si/images/logo_en.png">
                    <a:hlinkClick r:id="rId5" tooltip="&quot;home&quot;"/>
                  </pic:cNvPr>
                  <pic:cNvPicPr>
                    <a:picLocks noChangeAspect="1" noChangeArrowheads="1"/>
                  </pic:cNvPicPr>
                </pic:nvPicPr>
                <pic:blipFill>
                  <a:blip r:embed="rId6"/>
                  <a:srcRect/>
                  <a:stretch>
                    <a:fillRect/>
                  </a:stretch>
                </pic:blipFill>
                <pic:spPr bwMode="auto">
                  <a:xfrm>
                    <a:off x="0" y="0"/>
                    <a:ext cx="1339625" cy="272686"/>
                  </a:xfrm>
                  <a:prstGeom prst="rect">
                    <a:avLst/>
                  </a:prstGeom>
                  <a:noFill/>
                  <a:ln w="9525">
                    <a:noFill/>
                    <a:miter lim="800000"/>
                    <a:headEnd/>
                    <a:tailEnd/>
                  </a:ln>
                </pic:spPr>
              </pic:pic>
            </a:graphicData>
          </a:graphic>
        </wp:inline>
      </w:drawing>
    </w:r>
    <w:r w:rsidR="005E1BB8">
      <w:rPr>
        <w:noProof/>
        <w:lang w:eastAsia="cs-CZ"/>
      </w:rPr>
      <w:drawing>
        <wp:inline distT="0" distB="0" distL="0" distR="0">
          <wp:extent cx="426223" cy="288842"/>
          <wp:effectExtent l="19050" t="0" r="0" b="0"/>
          <wp:docPr id="15" name="obrázek 3" descr="S:\Saša\Migration to the Centre\LOGA\HR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ša\Migration to the Centre\LOGA\HRL logo.jpg"/>
                  <pic:cNvPicPr>
                    <a:picLocks noChangeAspect="1" noChangeArrowheads="1"/>
                  </pic:cNvPicPr>
                </pic:nvPicPr>
                <pic:blipFill>
                  <a:blip r:embed="rId7"/>
                  <a:srcRect/>
                  <a:stretch>
                    <a:fillRect/>
                  </a:stretch>
                </pic:blipFill>
                <pic:spPr bwMode="auto">
                  <a:xfrm>
                    <a:off x="0" y="0"/>
                    <a:ext cx="429116" cy="290802"/>
                  </a:xfrm>
                  <a:prstGeom prst="rect">
                    <a:avLst/>
                  </a:prstGeom>
                  <a:noFill/>
                  <a:ln w="9525">
                    <a:noFill/>
                    <a:miter lim="800000"/>
                    <a:headEnd/>
                    <a:tailEnd/>
                  </a:ln>
                </pic:spPr>
              </pic:pic>
            </a:graphicData>
          </a:graphic>
        </wp:inline>
      </w:drawing>
    </w:r>
    <w:r w:rsidR="005E1BB8">
      <w:rPr>
        <w:noProof/>
        <w:lang w:eastAsia="cs-CZ"/>
      </w:rPr>
      <w:t xml:space="preserve">            </w:t>
    </w:r>
    <w:r w:rsidR="005E1BB8">
      <w:t xml:space="preserve">           </w:t>
    </w:r>
    <w:r w:rsidR="00C15810">
      <w:t xml:space="preserve">    </w:t>
    </w:r>
    <w:r w:rsidR="005E1BB8">
      <w:t xml:space="preserve">        </w:t>
    </w:r>
    <w:r w:rsidR="005E1BB8">
      <w:rPr>
        <w:noProof/>
        <w:lang w:eastAsia="cs-CZ"/>
      </w:rPr>
      <w:t xml:space="preserve"> </w:t>
    </w:r>
    <w:r w:rsidRPr="007A0CBB">
      <w:rPr>
        <w:noProof/>
        <w:lang w:eastAsia="cs-CZ"/>
      </w:rPr>
      <w:drawing>
        <wp:inline distT="0" distB="0" distL="0" distR="0">
          <wp:extent cx="553444" cy="553444"/>
          <wp:effectExtent l="19050" t="0" r="0" b="0"/>
          <wp:docPr id="25" name="obrázek 6" descr="S:\Saša\Migration to the Centre\LOGA\CIJ-logo-blue_white_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ša\Migration to the Centre\LOGA\CIJ-logo-blue_white_frame.PNG"/>
                  <pic:cNvPicPr>
                    <a:picLocks noChangeAspect="1" noChangeArrowheads="1"/>
                  </pic:cNvPicPr>
                </pic:nvPicPr>
                <pic:blipFill>
                  <a:blip r:embed="rId8"/>
                  <a:srcRect/>
                  <a:stretch>
                    <a:fillRect/>
                  </a:stretch>
                </pic:blipFill>
                <pic:spPr bwMode="auto">
                  <a:xfrm>
                    <a:off x="0" y="0"/>
                    <a:ext cx="566766" cy="566766"/>
                  </a:xfrm>
                  <a:prstGeom prst="rect">
                    <a:avLst/>
                  </a:prstGeom>
                  <a:noFill/>
                  <a:ln w="9525">
                    <a:noFill/>
                    <a:miter lim="800000"/>
                    <a:headEnd/>
                    <a:tailEnd/>
                  </a:ln>
                </pic:spPr>
              </pic:pic>
            </a:graphicData>
          </a:graphic>
        </wp:inline>
      </w:drawing>
    </w:r>
    <w:r w:rsidR="005E1BB8">
      <w:rPr>
        <w:noProof/>
        <w:lang w:eastAsia="cs-CZ"/>
      </w:rPr>
      <w:t xml:space="preserve">   </w:t>
    </w:r>
    <w:r w:rsidR="00C15810">
      <w:t xml:space="preserve">  </w:t>
    </w:r>
  </w:p>
  <w:p w:rsidR="009F08CA" w:rsidRDefault="00C15810" w:rsidP="00733D56">
    <w:pPr>
      <w:pStyle w:val="Zhlav"/>
      <w:ind w:left="-14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B2AFF"/>
    <w:multiLevelType w:val="hybridMultilevel"/>
    <w:tmpl w:val="33269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1F17BEC"/>
    <w:multiLevelType w:val="hybridMultilevel"/>
    <w:tmpl w:val="A3C2D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20C04B8"/>
    <w:multiLevelType w:val="hybridMultilevel"/>
    <w:tmpl w:val="56AC774C"/>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
    <w:nsid w:val="5D57223A"/>
    <w:multiLevelType w:val="hybridMultilevel"/>
    <w:tmpl w:val="781EB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349B7"/>
    <w:rsid w:val="001B1570"/>
    <w:rsid w:val="004326D6"/>
    <w:rsid w:val="00566E46"/>
    <w:rsid w:val="0057430D"/>
    <w:rsid w:val="005D2F9C"/>
    <w:rsid w:val="005E1BB8"/>
    <w:rsid w:val="006D4C35"/>
    <w:rsid w:val="006F1EB8"/>
    <w:rsid w:val="007A0CBB"/>
    <w:rsid w:val="008F0E65"/>
    <w:rsid w:val="00A32605"/>
    <w:rsid w:val="00A349B7"/>
    <w:rsid w:val="00B60B36"/>
    <w:rsid w:val="00BA5C48"/>
    <w:rsid w:val="00C0437E"/>
    <w:rsid w:val="00C15810"/>
    <w:rsid w:val="00DD7413"/>
    <w:rsid w:val="00E71145"/>
    <w:rsid w:val="00EC0AD7"/>
    <w:rsid w:val="00FD67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49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349B7"/>
    <w:rPr>
      <w:color w:val="0000FF" w:themeColor="hyperlink"/>
      <w:u w:val="single"/>
    </w:rPr>
  </w:style>
  <w:style w:type="paragraph" w:styleId="FormtovanvHTML">
    <w:name w:val="HTML Preformatted"/>
    <w:basedOn w:val="Normln"/>
    <w:link w:val="FormtovanvHTMLChar"/>
    <w:uiPriority w:val="99"/>
    <w:unhideWhenUsed/>
    <w:rsid w:val="00A34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A349B7"/>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A349B7"/>
    <w:pPr>
      <w:ind w:left="720"/>
      <w:contextualSpacing/>
    </w:pPr>
  </w:style>
  <w:style w:type="paragraph" w:styleId="Zhlav">
    <w:name w:val="header"/>
    <w:basedOn w:val="Normln"/>
    <w:link w:val="ZhlavChar"/>
    <w:uiPriority w:val="99"/>
    <w:unhideWhenUsed/>
    <w:rsid w:val="00A349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49B7"/>
  </w:style>
  <w:style w:type="paragraph" w:styleId="Textbubliny">
    <w:name w:val="Balloon Text"/>
    <w:basedOn w:val="Normln"/>
    <w:link w:val="TextbublinyChar"/>
    <w:uiPriority w:val="99"/>
    <w:semiHidden/>
    <w:unhideWhenUsed/>
    <w:rsid w:val="00A349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9B7"/>
    <w:rPr>
      <w:rFonts w:ascii="Tahoma" w:hAnsi="Tahoma" w:cs="Tahoma"/>
      <w:sz w:val="16"/>
      <w:szCs w:val="16"/>
    </w:rPr>
  </w:style>
  <w:style w:type="paragraph" w:styleId="Textpoznpodarou">
    <w:name w:val="footnote text"/>
    <w:basedOn w:val="Normln"/>
    <w:link w:val="TextpoznpodarouChar"/>
    <w:uiPriority w:val="99"/>
    <w:semiHidden/>
    <w:unhideWhenUsed/>
    <w:rsid w:val="0057430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430D"/>
    <w:rPr>
      <w:sz w:val="20"/>
      <w:szCs w:val="20"/>
    </w:rPr>
  </w:style>
  <w:style w:type="character" w:styleId="Znakapoznpodarou">
    <w:name w:val="footnote reference"/>
    <w:basedOn w:val="Standardnpsmoodstavce"/>
    <w:uiPriority w:val="99"/>
    <w:semiHidden/>
    <w:unhideWhenUsed/>
    <w:rsid w:val="0057430D"/>
    <w:rPr>
      <w:vertAlign w:val="superscript"/>
    </w:rPr>
  </w:style>
  <w:style w:type="paragraph" w:styleId="Zpat">
    <w:name w:val="footer"/>
    <w:basedOn w:val="Normln"/>
    <w:link w:val="ZpatChar"/>
    <w:uiPriority w:val="99"/>
    <w:semiHidden/>
    <w:unhideWhenUsed/>
    <w:rsid w:val="005E1BB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E1BB8"/>
  </w:style>
  <w:style w:type="paragraph" w:customStyle="1" w:styleId="Default">
    <w:name w:val="Default"/>
    <w:rsid w:val="00EC0AD7"/>
    <w:pPr>
      <w:autoSpaceDE w:val="0"/>
      <w:autoSpaceDN w:val="0"/>
      <w:adjustRightInd w:val="0"/>
      <w:spacing w:after="0" w:line="240" w:lineRule="auto"/>
    </w:pPr>
    <w:rPr>
      <w:rFonts w:ascii="Ebrima" w:hAnsi="Ebrima" w:cs="Ebrima"/>
      <w:color w:val="000000"/>
      <w:sz w:val="24"/>
      <w:szCs w:val="24"/>
    </w:rPr>
  </w:style>
  <w:style w:type="paragraph" w:customStyle="1" w:styleId="Pa0">
    <w:name w:val="Pa0"/>
    <w:basedOn w:val="Default"/>
    <w:next w:val="Default"/>
    <w:uiPriority w:val="99"/>
    <w:rsid w:val="00EC0AD7"/>
    <w:pPr>
      <w:spacing w:line="241" w:lineRule="atLeast"/>
    </w:pPr>
    <w:rPr>
      <w:rFonts w:cstheme="minorBidi"/>
      <w:color w:val="auto"/>
    </w:rPr>
  </w:style>
  <w:style w:type="character" w:customStyle="1" w:styleId="A1">
    <w:name w:val="A1"/>
    <w:uiPriority w:val="99"/>
    <w:rsid w:val="00EC0AD7"/>
    <w:rPr>
      <w:rFonts w:cs="Ebrima"/>
      <w:color w:val="000000"/>
      <w:sz w:val="16"/>
      <w:szCs w:val="16"/>
    </w:rPr>
  </w:style>
  <w:style w:type="paragraph" w:styleId="Nzev">
    <w:name w:val="Title"/>
    <w:basedOn w:val="Normln"/>
    <w:next w:val="Normln"/>
    <w:link w:val="NzevChar"/>
    <w:uiPriority w:val="10"/>
    <w:qFormat/>
    <w:rsid w:val="00A32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326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57457113">
      <w:bodyDiv w:val="1"/>
      <w:marLeft w:val="0"/>
      <w:marRight w:val="0"/>
      <w:marTop w:val="0"/>
      <w:marBottom w:val="0"/>
      <w:divBdr>
        <w:top w:val="none" w:sz="0" w:space="0" w:color="auto"/>
        <w:left w:val="none" w:sz="0" w:space="0" w:color="auto"/>
        <w:bottom w:val="none" w:sz="0" w:space="0" w:color="auto"/>
        <w:right w:val="none" w:sz="0" w:space="0" w:color="auto"/>
      </w:divBdr>
      <w:divsChild>
        <w:div w:id="1303340537">
          <w:marLeft w:val="0"/>
          <w:marRight w:val="0"/>
          <w:marTop w:val="0"/>
          <w:marBottom w:val="0"/>
          <w:divBdr>
            <w:top w:val="none" w:sz="0" w:space="0" w:color="auto"/>
            <w:left w:val="none" w:sz="0" w:space="0" w:color="auto"/>
            <w:bottom w:val="none" w:sz="0" w:space="0" w:color="auto"/>
            <w:right w:val="none" w:sz="0" w:space="0" w:color="auto"/>
          </w:divBdr>
          <w:divsChild>
            <w:div w:id="728697715">
              <w:marLeft w:val="0"/>
              <w:marRight w:val="0"/>
              <w:marTop w:val="0"/>
              <w:marBottom w:val="0"/>
              <w:divBdr>
                <w:top w:val="none" w:sz="0" w:space="0" w:color="auto"/>
                <w:left w:val="none" w:sz="0" w:space="0" w:color="auto"/>
                <w:bottom w:val="none" w:sz="0" w:space="0" w:color="auto"/>
                <w:right w:val="none" w:sz="0" w:space="0" w:color="auto"/>
              </w:divBdr>
              <w:divsChild>
                <w:div w:id="20004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penickova@mkc.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gif"/><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hyperlink" Target="http://watchdog.org.pl/wwwdane/images/loga_organizacji_qd9t/isp_93yd.jpg" TargetMode="External"/><Relationship Id="rId6" Type="http://schemas.openxmlformats.org/officeDocument/2006/relationships/image" Target="media/image4.png"/><Relationship Id="rId5" Type="http://schemas.openxmlformats.org/officeDocument/2006/relationships/hyperlink" Target="http://www.mirovni-institut.si/Main/Index/en/" TargetMode="External"/><Relationship Id="rId4" Type="http://schemas.openxmlformats.org/officeDocument/2006/relationships/image" Target="media/image3.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CE87C-3A15-44AE-A30B-70A55FC2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1264</Words>
  <Characters>7463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2013-11-08T13:50:00Z</dcterms:created>
  <dcterms:modified xsi:type="dcterms:W3CDTF">2013-11-08T13:55:00Z</dcterms:modified>
</cp:coreProperties>
</file>