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649C" w:rsidRDefault="009F649C" w:rsidP="00DC5232">
      <w:pPr>
        <w:spacing w:after="0" w:line="240" w:lineRule="auto"/>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9F649C" w14:paraId="0A777000" w14:textId="77777777">
        <w:tc>
          <w:tcPr>
            <w:tcW w:w="9062" w:type="dxa"/>
            <w:tcBorders>
              <w:top w:val="single" w:sz="12" w:space="0" w:color="EF402B"/>
              <w:left w:val="nil"/>
              <w:bottom w:val="single" w:sz="12" w:space="0" w:color="EF402B"/>
              <w:right w:val="nil"/>
            </w:tcBorders>
          </w:tcPr>
          <w:p w14:paraId="00000002" w14:textId="77777777" w:rsidR="009F649C" w:rsidRDefault="009F649C" w:rsidP="00DC5232">
            <w:pPr>
              <w:jc w:val="center"/>
              <w:rPr>
                <w:b/>
                <w:color w:val="3D0F7B"/>
              </w:rPr>
            </w:pPr>
          </w:p>
          <w:p w14:paraId="00000003" w14:textId="77777777" w:rsidR="009F649C" w:rsidRDefault="00925E3A" w:rsidP="00DC5232">
            <w:pPr>
              <w:jc w:val="center"/>
              <w:rPr>
                <w:b/>
              </w:rPr>
            </w:pPr>
            <w:r>
              <w:rPr>
                <w:b/>
              </w:rPr>
              <w:t>TISKOVÁ ZPRÁVA</w:t>
            </w:r>
          </w:p>
          <w:p w14:paraId="00000004" w14:textId="384E7303" w:rsidR="009F649C" w:rsidRDefault="00925E3A" w:rsidP="00DC5232">
            <w:pPr>
              <w:jc w:val="center"/>
            </w:pPr>
            <w:r>
              <w:t>7.</w:t>
            </w:r>
            <w:r w:rsidR="002849A6">
              <w:t xml:space="preserve"> </w:t>
            </w:r>
            <w:r>
              <w:t>října 2022</w:t>
            </w:r>
          </w:p>
          <w:p w14:paraId="00000005" w14:textId="77777777" w:rsidR="009F649C" w:rsidRDefault="009F649C" w:rsidP="00DC5232">
            <w:pPr>
              <w:jc w:val="center"/>
            </w:pPr>
          </w:p>
          <w:p w14:paraId="00000006" w14:textId="77777777" w:rsidR="009F649C" w:rsidRDefault="00925E3A" w:rsidP="00DC5232">
            <w:pPr>
              <w:jc w:val="center"/>
              <w:rPr>
                <w:b/>
                <w:sz w:val="28"/>
                <w:szCs w:val="28"/>
              </w:rPr>
            </w:pPr>
            <w:r>
              <w:rPr>
                <w:b/>
                <w:sz w:val="28"/>
                <w:szCs w:val="28"/>
              </w:rPr>
              <w:t>FIRMA ROKU: ROVNÉ PŘÍLEŽITOSTI 2022</w:t>
            </w:r>
          </w:p>
          <w:p w14:paraId="00000007" w14:textId="77777777" w:rsidR="009F649C" w:rsidRDefault="00925E3A" w:rsidP="00DC5232">
            <w:pPr>
              <w:jc w:val="center"/>
              <w:rPr>
                <w:b/>
              </w:rPr>
            </w:pPr>
            <w:r>
              <w:rPr>
                <w:b/>
              </w:rPr>
              <w:t>Rovné odměňování</w:t>
            </w:r>
          </w:p>
          <w:p w14:paraId="00000008" w14:textId="77777777" w:rsidR="009F649C" w:rsidRDefault="009F649C" w:rsidP="00DC5232">
            <w:pPr>
              <w:jc w:val="center"/>
            </w:pPr>
          </w:p>
        </w:tc>
      </w:tr>
    </w:tbl>
    <w:p w14:paraId="00000009" w14:textId="77777777" w:rsidR="009F649C" w:rsidRDefault="009F649C" w:rsidP="00DC5232">
      <w:pPr>
        <w:spacing w:after="0" w:line="240" w:lineRule="auto"/>
        <w:jc w:val="center"/>
      </w:pPr>
    </w:p>
    <w:p w14:paraId="0000000A" w14:textId="29C03090" w:rsidR="009F649C" w:rsidRDefault="00925E3A" w:rsidP="00DC5232">
      <w:pPr>
        <w:spacing w:after="0" w:line="240" w:lineRule="auto"/>
        <w:jc w:val="both"/>
        <w:rPr>
          <w:b/>
        </w:rPr>
      </w:pPr>
      <w:r>
        <w:rPr>
          <w:b/>
        </w:rPr>
        <w:t>V pátek 7.</w:t>
      </w:r>
      <w:r w:rsidR="00DC5232">
        <w:rPr>
          <w:b/>
        </w:rPr>
        <w:t xml:space="preserve"> </w:t>
      </w:r>
      <w:r>
        <w:rPr>
          <w:b/>
        </w:rPr>
        <w:t>října 2022 byly během závěrečné konference slavnostně vyhlášeny výsledky ocenění Firma roku: Rovné příležitosti 2022. Pro 14. ročník bylo ústředním tématem rovné odměňování. Do letošního ročníku se přihlásily firmy a organizace s celkovou zaměstn</w:t>
      </w:r>
      <w:r w:rsidR="00DC5232">
        <w:rPr>
          <w:b/>
        </w:rPr>
        <w:t>ane</w:t>
      </w:r>
      <w:r>
        <w:rPr>
          <w:b/>
        </w:rPr>
        <w:t>ckou populací čítající více než 36 tisíc lidí. Jako součást hodnocení byla letos ve vybraných organizacích provedena analýza rovnosti odměňování pomocí nástroje LOGIB. Odborným partnerem letošního ročníku ocenění bylo Ministerstvo práce a sociálních věcí.</w:t>
      </w:r>
      <w:r>
        <w:rPr>
          <w:b/>
        </w:rPr>
        <w:t xml:space="preserve"> </w:t>
      </w:r>
    </w:p>
    <w:p w14:paraId="76489585" w14:textId="77777777" w:rsidR="00DC5232" w:rsidRDefault="00DC5232" w:rsidP="00DC5232">
      <w:pPr>
        <w:spacing w:after="0" w:line="240" w:lineRule="auto"/>
        <w:jc w:val="both"/>
        <w:rPr>
          <w:b/>
        </w:rPr>
      </w:pPr>
    </w:p>
    <w:p w14:paraId="0000000B" w14:textId="76AD9B30" w:rsidR="009F649C" w:rsidRDefault="00925E3A" w:rsidP="00DC5232">
      <w:pPr>
        <w:pBdr>
          <w:top w:val="nil"/>
          <w:left w:val="nil"/>
          <w:bottom w:val="nil"/>
          <w:right w:val="nil"/>
          <w:between w:val="nil"/>
        </w:pBdr>
        <w:spacing w:after="0" w:line="240" w:lineRule="auto"/>
        <w:jc w:val="both"/>
      </w:pPr>
      <w:r>
        <w:t>V Čechách převládá politika "</w:t>
      </w:r>
      <w:proofErr w:type="spellStart"/>
      <w:r>
        <w:t>don't</w:t>
      </w:r>
      <w:proofErr w:type="spellEnd"/>
      <w:r>
        <w:t xml:space="preserve"> </w:t>
      </w:r>
      <w:proofErr w:type="spellStart"/>
      <w:r>
        <w:t>ask</w:t>
      </w:r>
      <w:proofErr w:type="spellEnd"/>
      <w:r>
        <w:t xml:space="preserve">, </w:t>
      </w:r>
      <w:proofErr w:type="spellStart"/>
      <w:r>
        <w:t>don't</w:t>
      </w:r>
      <w:proofErr w:type="spellEnd"/>
      <w:r>
        <w:t xml:space="preserve"> </w:t>
      </w:r>
      <w:proofErr w:type="spellStart"/>
      <w:r>
        <w:t>tell</w:t>
      </w:r>
      <w:proofErr w:type="spellEnd"/>
      <w:r>
        <w:t xml:space="preserve">": o platu se nemluví, na mzdu se neptáme. Peníze a odměna jako by byla něco nemravného. Přesto jsou to zásadní hybatelé naší práce a férová odměna je výrazným motivačním prvkem. Průměrný genderový </w:t>
      </w:r>
      <w:r>
        <w:t xml:space="preserve">rozdíl </w:t>
      </w:r>
      <w:r w:rsidR="00666C62">
        <w:t xml:space="preserve">v odměňování </w:t>
      </w:r>
      <w:r>
        <w:t>(GPG) je přitom v ČR aktuálně cca 16</w:t>
      </w:r>
      <w:r w:rsidR="00DC5232">
        <w:t xml:space="preserve"> </w:t>
      </w:r>
      <w:r>
        <w:t>%. Za posledních několik let GPG poklesl, z původních cca 22</w:t>
      </w:r>
      <w:r w:rsidR="00DC5232">
        <w:t xml:space="preserve"> </w:t>
      </w:r>
      <w:r>
        <w:t xml:space="preserve">%. Pokles byl způsoben </w:t>
      </w:r>
      <w:r w:rsidR="00666C62">
        <w:t xml:space="preserve">zejména důsledky </w:t>
      </w:r>
      <w:r>
        <w:t>covidov</w:t>
      </w:r>
      <w:r w:rsidR="00666C62">
        <w:t>é</w:t>
      </w:r>
      <w:r>
        <w:t xml:space="preserve"> pandemi</w:t>
      </w:r>
      <w:r w:rsidR="00666C62">
        <w:t>e</w:t>
      </w:r>
      <w:r>
        <w:t>, kdy byla finančně posílena odvětví</w:t>
      </w:r>
      <w:r w:rsidR="00666C62">
        <w:t>,</w:t>
      </w:r>
      <w:r>
        <w:t xml:space="preserve"> jako je například zdravotnictví a sociální služby.</w:t>
      </w:r>
    </w:p>
    <w:p w14:paraId="75C46D10" w14:textId="77777777" w:rsidR="00DC5232" w:rsidRDefault="00DC5232" w:rsidP="00DC5232">
      <w:pPr>
        <w:pBdr>
          <w:top w:val="nil"/>
          <w:left w:val="nil"/>
          <w:bottom w:val="nil"/>
          <w:right w:val="nil"/>
          <w:between w:val="nil"/>
        </w:pBdr>
        <w:spacing w:after="0" w:line="240" w:lineRule="auto"/>
        <w:jc w:val="both"/>
      </w:pPr>
    </w:p>
    <w:p w14:paraId="0000000C" w14:textId="325342A0" w:rsidR="009F649C" w:rsidRDefault="00925E3A" w:rsidP="00DC5232">
      <w:pPr>
        <w:spacing w:after="0" w:line="240" w:lineRule="auto"/>
        <w:jc w:val="both"/>
      </w:pPr>
      <w:r>
        <w:t>Covidová pandemie také</w:t>
      </w:r>
      <w:r>
        <w:t xml:space="preserve"> změnila úhel pohledu na hodnotu práce a péče. I ocenění Firma roku: Rovné příležitosti </w:t>
      </w:r>
      <w:r w:rsidR="00666C62">
        <w:t xml:space="preserve">přináší odlišnou </w:t>
      </w:r>
      <w:proofErr w:type="spellStart"/>
      <w:r w:rsidR="00666C62">
        <w:t>perpsektivu</w:t>
      </w:r>
      <w:proofErr w:type="spellEnd"/>
      <w:r>
        <w:t xml:space="preserve"> na rovné odměňování </w:t>
      </w:r>
      <w:r>
        <w:t>a také na nástroje, které máme na to, abychom GPG zmírňovali.</w:t>
      </w:r>
    </w:p>
    <w:p w14:paraId="7DAA6E78" w14:textId="7D74FE97" w:rsidR="00DC5232" w:rsidRDefault="00DC5232" w:rsidP="00DC5232">
      <w:pPr>
        <w:spacing w:after="0" w:line="240" w:lineRule="auto"/>
        <w:jc w:val="both"/>
      </w:pPr>
    </w:p>
    <w:p w14:paraId="0C57D72D" w14:textId="34B695A8" w:rsidR="00666C62" w:rsidRPr="00666C62" w:rsidRDefault="00666C62" w:rsidP="00DC5232">
      <w:pPr>
        <w:spacing w:after="0" w:line="240" w:lineRule="auto"/>
        <w:jc w:val="both"/>
        <w:rPr>
          <w:b/>
          <w:bCs/>
        </w:rPr>
      </w:pPr>
      <w:r>
        <w:rPr>
          <w:b/>
          <w:bCs/>
        </w:rPr>
        <w:t>Ocenění a průběh hodnocení</w:t>
      </w:r>
    </w:p>
    <w:p w14:paraId="0000000E" w14:textId="608333B9" w:rsidR="009F649C" w:rsidRPr="00666C62" w:rsidRDefault="00925E3A" w:rsidP="00DC5232">
      <w:pPr>
        <w:spacing w:after="0" w:line="240" w:lineRule="auto"/>
        <w:jc w:val="both"/>
      </w:pPr>
      <w:r>
        <w:t>Hodnocení soutěže probíhalo i letos ve dvou kolech, kdy v prvním hodnotil materiály všech přihlášených</w:t>
      </w:r>
      <w:r w:rsidR="00666C62">
        <w:t xml:space="preserve"> organizací</w:t>
      </w:r>
      <w:r>
        <w:t xml:space="preserve"> </w:t>
      </w:r>
      <w:r>
        <w:rPr>
          <w:b/>
        </w:rPr>
        <w:t>interní tým</w:t>
      </w:r>
      <w:r>
        <w:t xml:space="preserve"> Gender Studies, o. p. s., ve druhém pak postoupivší organizace posuzovala </w:t>
      </w:r>
      <w:r>
        <w:rPr>
          <w:b/>
        </w:rPr>
        <w:t>odborná porota</w:t>
      </w:r>
      <w:r>
        <w:t>, která leto</w:t>
      </w:r>
      <w:r w:rsidRPr="00666C62">
        <w:t xml:space="preserve">s zasedla ve složení: </w:t>
      </w:r>
      <w:r w:rsidRPr="00666C62">
        <w:t xml:space="preserve">Šárka </w:t>
      </w:r>
      <w:proofErr w:type="spellStart"/>
      <w:r w:rsidRPr="00666C62">
        <w:t>Homfray</w:t>
      </w:r>
      <w:proofErr w:type="spellEnd"/>
      <w:r w:rsidRPr="00666C62">
        <w:t xml:space="preserve"> (prá</w:t>
      </w:r>
      <w:r w:rsidRPr="00666C62">
        <w:t xml:space="preserve">vnička se zaměřením na pracovní právo, Odborový svaz státních orgánů a organizací), </w:t>
      </w:r>
      <w:r w:rsidRPr="00666C62">
        <w:t>Hana Salačová Svobodová</w:t>
      </w:r>
      <w:r w:rsidRPr="00666C62">
        <w:t xml:space="preserve"> (expertka na procesní a personální management, TALLA), </w:t>
      </w:r>
      <w:r w:rsidRPr="00666C62">
        <w:t xml:space="preserve">Vít </w:t>
      </w:r>
      <w:proofErr w:type="spellStart"/>
      <w:r w:rsidRPr="00666C62">
        <w:t>Strobach</w:t>
      </w:r>
      <w:proofErr w:type="spellEnd"/>
      <w:r w:rsidRPr="00666C62">
        <w:t xml:space="preserve"> (Úřad vlády České republiky), </w:t>
      </w:r>
      <w:r w:rsidRPr="00666C62">
        <w:t>L</w:t>
      </w:r>
      <w:r w:rsidR="00DC5232" w:rsidRPr="00666C62">
        <w:t>ada</w:t>
      </w:r>
      <w:r w:rsidRPr="00666C62">
        <w:t xml:space="preserve"> Wichterlová</w:t>
      </w:r>
      <w:r w:rsidRPr="00666C62">
        <w:t xml:space="preserve"> (Projekt 22</w:t>
      </w:r>
      <w:r w:rsidR="00DC5232" w:rsidRPr="00666C62">
        <w:t xml:space="preserve"> </w:t>
      </w:r>
      <w:r w:rsidRPr="00666C62">
        <w:t xml:space="preserve">% K ROVNOSTI, MPSV) a </w:t>
      </w:r>
      <w:r w:rsidRPr="00666C62">
        <w:t>J</w:t>
      </w:r>
      <w:r w:rsidRPr="00666C62">
        <w:t xml:space="preserve">ohana Jonáková </w:t>
      </w:r>
      <w:r w:rsidRPr="00666C62">
        <w:t>(genderová expertka, ředitelka Gender Studies, o. p. s.)</w:t>
      </w:r>
    </w:p>
    <w:p w14:paraId="1DFCF923" w14:textId="77777777" w:rsidR="00DC5232" w:rsidRDefault="00DC5232" w:rsidP="00DC5232">
      <w:pPr>
        <w:spacing w:after="0" w:line="240" w:lineRule="auto"/>
        <w:jc w:val="both"/>
        <w:rPr>
          <w:b/>
        </w:rPr>
      </w:pPr>
    </w:p>
    <w:p w14:paraId="0000000F" w14:textId="7E365EA8" w:rsidR="009F649C" w:rsidRDefault="00925E3A" w:rsidP="00DC5232">
      <w:pPr>
        <w:spacing w:after="0" w:line="240" w:lineRule="auto"/>
        <w:jc w:val="both"/>
      </w:pPr>
      <w:r>
        <w:t>Soutěž je určena pro zaměstnavatele, kteří uvádějí do praxe myšlenku rovných příležitostí a udávají tak trend v personalistice. Hodnotící průřezová kritéria dotazníku pro přihlášené za</w:t>
      </w:r>
      <w:r>
        <w:t>městnavatele jsou: inovativnost, aktivní podpora diverzity na pracovišti a přenositelnost programů a iniciativ do jiných firem. V rámci 2. kola také v letošním ročníku všichni postoupivší zaměstnavatelé získali analýzu příjmové rovnosti unikátním nástrojem</w:t>
      </w:r>
      <w:r>
        <w:t xml:space="preserve"> LOGIB. J</w:t>
      </w:r>
      <w:r w:rsidR="00666C62">
        <w:t>edná se o</w:t>
      </w:r>
      <w:r>
        <w:t xml:space="preserve"> analytický nástroj, původně vyvinutý ve Švýcarsku, který aktuálně pilotuje v České republice Ministerstvo práce a sociálních věcí v projektu 22</w:t>
      </w:r>
      <w:r w:rsidR="00666C62">
        <w:t xml:space="preserve"> </w:t>
      </w:r>
      <w:r>
        <w:t>% K ROVNOSTI (</w:t>
      </w:r>
      <w:hyperlink r:id="rId9">
        <w:r>
          <w:t>www.rovnaodmena.cz</w:t>
        </w:r>
      </w:hyperlink>
      <w:r>
        <w:t>)  LOGIB  je mezinárod</w:t>
      </w:r>
      <w:r>
        <w:t>ně uznaný, otestovaný nástroj, který je</w:t>
      </w:r>
      <w:r w:rsidR="00666C62">
        <w:t xml:space="preserve"> dostupný zdarma.</w:t>
      </w:r>
    </w:p>
    <w:p w14:paraId="313BB180" w14:textId="77777777" w:rsidR="00DC5232" w:rsidRDefault="00DC5232" w:rsidP="00DC5232">
      <w:pPr>
        <w:spacing w:after="0" w:line="240" w:lineRule="auto"/>
        <w:jc w:val="both"/>
      </w:pPr>
    </w:p>
    <w:p w14:paraId="00000010" w14:textId="77777777" w:rsidR="009F649C" w:rsidRDefault="00925E3A" w:rsidP="00DC5232">
      <w:pPr>
        <w:spacing w:after="0" w:line="240" w:lineRule="auto"/>
        <w:jc w:val="both"/>
        <w:rPr>
          <w:b/>
        </w:rPr>
      </w:pPr>
      <w:r>
        <w:rPr>
          <w:b/>
        </w:rPr>
        <w:t>Výsledky soutěže o ocenění Firma roku: Rovné příležitosti 2022</w:t>
      </w:r>
    </w:p>
    <w:p w14:paraId="00000011" w14:textId="77777777" w:rsidR="009F649C" w:rsidRDefault="00925E3A" w:rsidP="00DC5232">
      <w:pPr>
        <w:spacing w:after="0" w:line="240" w:lineRule="auto"/>
        <w:jc w:val="both"/>
      </w:pPr>
      <w:r>
        <w:t xml:space="preserve">A kdo se tedy umístil v letošním 14. ročníku soutěže? </w:t>
      </w:r>
    </w:p>
    <w:p w14:paraId="00000012" w14:textId="77777777" w:rsidR="009F649C" w:rsidRDefault="00925E3A" w:rsidP="00666C62">
      <w:pPr>
        <w:pStyle w:val="Odstavecseseznamem"/>
        <w:numPr>
          <w:ilvl w:val="0"/>
          <w:numId w:val="2"/>
        </w:numPr>
        <w:spacing w:after="0" w:line="240" w:lineRule="auto"/>
        <w:jc w:val="both"/>
      </w:pPr>
      <w:r>
        <w:t xml:space="preserve">Ocenění Firma roku: Rovné příležitosti za rok 2022 získal </w:t>
      </w:r>
      <w:r w:rsidRPr="00666C62">
        <w:rPr>
          <w:b/>
        </w:rPr>
        <w:t>Ústav mezinárodních vz</w:t>
      </w:r>
      <w:r w:rsidRPr="00666C62">
        <w:rPr>
          <w:b/>
        </w:rPr>
        <w:t>tahů Praha, v. v. i.</w:t>
      </w:r>
    </w:p>
    <w:p w14:paraId="00000013" w14:textId="77777777" w:rsidR="009F649C" w:rsidRDefault="00925E3A" w:rsidP="00DC5232">
      <w:pPr>
        <w:numPr>
          <w:ilvl w:val="0"/>
          <w:numId w:val="1"/>
        </w:numPr>
        <w:spacing w:after="0" w:line="240" w:lineRule="auto"/>
        <w:jc w:val="both"/>
      </w:pPr>
      <w:r>
        <w:t>Z</w:t>
      </w:r>
      <w:r>
        <w:t xml:space="preserve">vláštní cena poroty byla udělena společnosti </w:t>
      </w:r>
      <w:r>
        <w:rPr>
          <w:b/>
        </w:rPr>
        <w:t xml:space="preserve">dm drogerie </w:t>
      </w:r>
      <w:proofErr w:type="spellStart"/>
      <w:r>
        <w:rPr>
          <w:b/>
        </w:rPr>
        <w:t>markt</w:t>
      </w:r>
      <w:proofErr w:type="spellEnd"/>
      <w:r>
        <w:rPr>
          <w:b/>
        </w:rPr>
        <w:t xml:space="preserve"> s.r.o.</w:t>
      </w:r>
    </w:p>
    <w:p w14:paraId="6B34B10E" w14:textId="77777777" w:rsidR="00DC5232" w:rsidRDefault="00DC5232" w:rsidP="00DC5232">
      <w:pPr>
        <w:spacing w:after="0" w:line="240" w:lineRule="auto"/>
        <w:jc w:val="both"/>
        <w:rPr>
          <w:b/>
        </w:rPr>
      </w:pPr>
    </w:p>
    <w:p w14:paraId="00000014" w14:textId="3D0B07BD" w:rsidR="009F649C" w:rsidRDefault="00925E3A" w:rsidP="00DC5232">
      <w:pPr>
        <w:spacing w:after="0" w:line="240" w:lineRule="auto"/>
        <w:jc w:val="both"/>
        <w:rPr>
          <w:b/>
        </w:rPr>
      </w:pPr>
      <w:r>
        <w:rPr>
          <w:b/>
        </w:rPr>
        <w:lastRenderedPageBreak/>
        <w:t xml:space="preserve">A jak si stojí ocenění zaměstnavatelé, pokud jde o rovné odměňování? A co pro ně znamenala účast v soutěži o ocenění Firma roku: Rovné příležitosti 2022? </w:t>
      </w:r>
    </w:p>
    <w:p w14:paraId="325DE042" w14:textId="77777777" w:rsidR="00666C62" w:rsidRDefault="00666C62" w:rsidP="00DC5232">
      <w:pPr>
        <w:spacing w:after="0" w:line="240" w:lineRule="auto"/>
        <w:jc w:val="both"/>
      </w:pPr>
    </w:p>
    <w:p w14:paraId="00000015" w14:textId="4A9D831A" w:rsidR="009F649C" w:rsidRDefault="00925E3A" w:rsidP="00DC5232">
      <w:pPr>
        <w:spacing w:after="0" w:line="240" w:lineRule="auto"/>
        <w:jc w:val="both"/>
        <w:rPr>
          <w:b/>
        </w:rPr>
      </w:pPr>
      <w:r>
        <w:t xml:space="preserve">Ondřej </w:t>
      </w:r>
      <w:proofErr w:type="spellStart"/>
      <w:r>
        <w:t>Di</w:t>
      </w:r>
      <w:r>
        <w:t>trych</w:t>
      </w:r>
      <w:proofErr w:type="spellEnd"/>
      <w:r>
        <w:t>, ředitel Ústavu mezinárodních vztahů Praha, v. v. i.</w:t>
      </w:r>
      <w:r w:rsidR="00666C62">
        <w:t>:</w:t>
      </w:r>
    </w:p>
    <w:p w14:paraId="00000017" w14:textId="17BB4A00" w:rsidR="009F649C" w:rsidRDefault="00925E3A" w:rsidP="00DC5232">
      <w:pPr>
        <w:shd w:val="clear" w:color="auto" w:fill="FFFFFF"/>
        <w:spacing w:after="0" w:line="240" w:lineRule="auto"/>
        <w:jc w:val="both"/>
        <w:rPr>
          <w:i/>
        </w:rPr>
      </w:pPr>
      <w:r>
        <w:rPr>
          <w:i/>
        </w:rPr>
        <w:t xml:space="preserve">“Pro nás všechny v Ústavu mezinárodních vztahů je umístění obrovskou poctou a motivací do budoucna. Transparentnost a férovost v odměňování je pro nás velmi důležitá jak ve vztahu </w:t>
      </w:r>
      <w:proofErr w:type="gramStart"/>
      <w:r>
        <w:rPr>
          <w:i/>
        </w:rPr>
        <w:t>k</w:t>
      </w:r>
      <w:proofErr w:type="gramEnd"/>
      <w:r>
        <w:rPr>
          <w:i/>
        </w:rPr>
        <w:t xml:space="preserve"> genderu, tak</w:t>
      </w:r>
      <w:r>
        <w:rPr>
          <w:i/>
        </w:rPr>
        <w:t xml:space="preserve"> v širším kontextu rovných příležitostí a odstraňování různých druhů nerovností. Bereme to jako otázku základní lidské spravedlnosti i motivace kolegů a kolegyň, aby se u nás cítili dobře a naplňovali svůj potenciál.” </w:t>
      </w:r>
    </w:p>
    <w:p w14:paraId="00000018" w14:textId="77777777" w:rsidR="009F649C" w:rsidRDefault="009F649C" w:rsidP="00DC5232">
      <w:pPr>
        <w:shd w:val="clear" w:color="auto" w:fill="FFFFFF"/>
        <w:spacing w:after="0" w:line="240" w:lineRule="auto"/>
        <w:jc w:val="both"/>
      </w:pPr>
    </w:p>
    <w:p w14:paraId="00000019" w14:textId="77777777" w:rsidR="009F649C" w:rsidRDefault="00925E3A" w:rsidP="00DC5232">
      <w:pPr>
        <w:shd w:val="clear" w:color="auto" w:fill="FFFFFF"/>
        <w:spacing w:after="0" w:line="240" w:lineRule="auto"/>
        <w:jc w:val="both"/>
      </w:pPr>
      <w:r>
        <w:t>Eva Jakešová, vedoucí oddělení perso</w:t>
      </w:r>
      <w:r>
        <w:t xml:space="preserve">nálního rozvoje dm drogerie </w:t>
      </w:r>
      <w:proofErr w:type="spellStart"/>
      <w:r>
        <w:t>markt</w:t>
      </w:r>
      <w:proofErr w:type="spellEnd"/>
      <w:r>
        <w:t>:</w:t>
      </w:r>
    </w:p>
    <w:p w14:paraId="0000001B" w14:textId="77777777" w:rsidR="009F649C" w:rsidRDefault="00925E3A" w:rsidP="00DC5232">
      <w:pPr>
        <w:shd w:val="clear" w:color="auto" w:fill="FFFFFF"/>
        <w:spacing w:after="0" w:line="240" w:lineRule="auto"/>
        <w:jc w:val="both"/>
        <w:rPr>
          <w:i/>
        </w:rPr>
      </w:pPr>
      <w:r>
        <w:rPr>
          <w:i/>
        </w:rPr>
        <w:t>„V dm přistupujeme ke všem spolupracovníkům na základě jejich schopností, nikoliv na základě jejich pohlaví, věku nebo doby strávené u dm. Tato filozofie se odráží i v mzdovém systému společnosti, kdy jsou stejnou výší m</w:t>
      </w:r>
      <w:r>
        <w:rPr>
          <w:i/>
        </w:rPr>
        <w:t>zdy odměňováni spolupracovníci a spolupracovnice na stejných pozicích. Bez ohledu na to, v jakém městě svoji práci vykonávají. A dle našich zkušeností je právě princip rovného odměňování spolu s transparentním mzdovým systémem, pružnou pracovní dobou či mo</w:t>
      </w:r>
      <w:r>
        <w:rPr>
          <w:i/>
        </w:rPr>
        <w:t>žností kratšího úvazku jedním z důvodů spokojenosti našich spolupracovníků.“</w:t>
      </w:r>
    </w:p>
    <w:p w14:paraId="0000001D" w14:textId="77777777" w:rsidR="009F649C" w:rsidRDefault="009F649C" w:rsidP="00DC5232">
      <w:pPr>
        <w:spacing w:after="0" w:line="240" w:lineRule="auto"/>
        <w:jc w:val="both"/>
      </w:pPr>
    </w:p>
    <w:p w14:paraId="0000001E" w14:textId="406DDFAA" w:rsidR="009F649C" w:rsidRDefault="00925E3A" w:rsidP="00DC5232">
      <w:pPr>
        <w:spacing w:after="0" w:line="240" w:lineRule="auto"/>
        <w:jc w:val="both"/>
        <w:rPr>
          <w:b/>
        </w:rPr>
      </w:pPr>
      <w:r>
        <w:rPr>
          <w:b/>
        </w:rPr>
        <w:t>Argumentace odborné poroty</w:t>
      </w:r>
      <w:r w:rsidR="00DC5232">
        <w:rPr>
          <w:b/>
        </w:rPr>
        <w:t xml:space="preserve">, </w:t>
      </w:r>
      <w:r>
        <w:rPr>
          <w:b/>
        </w:rPr>
        <w:t>proč rozhodla, jak rozhodla:</w:t>
      </w:r>
    </w:p>
    <w:p w14:paraId="0000001F" w14:textId="77777777" w:rsidR="009F649C" w:rsidRDefault="00925E3A" w:rsidP="00DC5232">
      <w:pPr>
        <w:spacing w:after="0" w:line="240" w:lineRule="auto"/>
        <w:jc w:val="both"/>
      </w:pPr>
      <w:bookmarkStart w:id="0" w:name="_heading=h.1fob9te" w:colFirst="0" w:colLast="0"/>
      <w:bookmarkEnd w:id="0"/>
      <w:r>
        <w:t xml:space="preserve">Firma roku: Rovné příležitosti 2022: Ústav mezinárodních vztahů, </w:t>
      </w:r>
      <w:proofErr w:type="spellStart"/>
      <w:r>
        <w:t>v.v.i</w:t>
      </w:r>
      <w:proofErr w:type="spellEnd"/>
      <w:r>
        <w:t>.:</w:t>
      </w:r>
    </w:p>
    <w:p w14:paraId="00000020" w14:textId="522A4477" w:rsidR="009F649C" w:rsidRDefault="00925E3A" w:rsidP="00DC5232">
      <w:pPr>
        <w:spacing w:after="0" w:line="240" w:lineRule="auto"/>
        <w:jc w:val="both"/>
        <w:rPr>
          <w:i/>
        </w:rPr>
      </w:pPr>
      <w:bookmarkStart w:id="1" w:name="_heading=h.qhctwuk38bvb" w:colFirst="0" w:colLast="0"/>
      <w:bookmarkEnd w:id="1"/>
      <w:r>
        <w:rPr>
          <w:i/>
        </w:rPr>
        <w:t>Odborná porota oceňuje dlouhodobý, široký a komp</w:t>
      </w:r>
      <w:r>
        <w:rPr>
          <w:i/>
        </w:rPr>
        <w:t>lexní přístup k tématu rovných příležitostí a rovného odměňování, který se opírá o transparentní politiku odměňování a rozsáhlé interní metodiky. Porota ocenila, že transparentnost odměňování je podpořena neexistencí smluvní doložky o mlčenlivosti. Pozitiv</w:t>
      </w:r>
      <w:r>
        <w:rPr>
          <w:i/>
        </w:rPr>
        <w:t xml:space="preserve">ně hodnotí také podporu rodičů například prostřednictvím vlastní dětské skupiny, baby </w:t>
      </w:r>
      <w:proofErr w:type="spellStart"/>
      <w:r>
        <w:rPr>
          <w:i/>
        </w:rPr>
        <w:t>friendly</w:t>
      </w:r>
      <w:proofErr w:type="spellEnd"/>
      <w:r>
        <w:rPr>
          <w:i/>
        </w:rPr>
        <w:t xml:space="preserve"> pracovního prostředí, výrazně nadstandardního počtu </w:t>
      </w:r>
      <w:proofErr w:type="spellStart"/>
      <w:r>
        <w:rPr>
          <w:i/>
        </w:rPr>
        <w:t>sick</w:t>
      </w:r>
      <w:proofErr w:type="spellEnd"/>
      <w:r>
        <w:rPr>
          <w:i/>
        </w:rPr>
        <w:t xml:space="preserve"> </w:t>
      </w:r>
      <w:proofErr w:type="spellStart"/>
      <w:r>
        <w:rPr>
          <w:i/>
        </w:rPr>
        <w:t>days</w:t>
      </w:r>
      <w:proofErr w:type="spellEnd"/>
      <w:r>
        <w:rPr>
          <w:i/>
        </w:rPr>
        <w:t xml:space="preserve"> či práce na </w:t>
      </w:r>
      <w:proofErr w:type="spellStart"/>
      <w:r>
        <w:rPr>
          <w:i/>
        </w:rPr>
        <w:t>home</w:t>
      </w:r>
      <w:proofErr w:type="spellEnd"/>
      <w:r>
        <w:rPr>
          <w:i/>
        </w:rPr>
        <w:t xml:space="preserve"> office. V neposlední řadě také oceňuje kvalitní komunikaci se zaměstnanými a úsilí</w:t>
      </w:r>
      <w:r>
        <w:rPr>
          <w:i/>
        </w:rPr>
        <w:t xml:space="preserve"> o zjišťování jejich názorů a spokojenosti. K výbornému výsledku přispívá výstup z analýzy odměňování LOGIB, který ukazuje na neexistenci systematického znevýhodňování v odměňování na základě pohlaví.</w:t>
      </w:r>
    </w:p>
    <w:p w14:paraId="3A915C8D" w14:textId="77777777" w:rsidR="00DC5232" w:rsidRDefault="00DC5232" w:rsidP="00DC5232">
      <w:pPr>
        <w:spacing w:after="0" w:line="240" w:lineRule="auto"/>
        <w:jc w:val="both"/>
      </w:pPr>
    </w:p>
    <w:p w14:paraId="00000021" w14:textId="77777777" w:rsidR="009F649C" w:rsidRDefault="00925E3A" w:rsidP="00DC5232">
      <w:pPr>
        <w:spacing w:after="0" w:line="240" w:lineRule="auto"/>
        <w:jc w:val="both"/>
      </w:pPr>
      <w:bookmarkStart w:id="2" w:name="_heading=h.v0fku8d7idp" w:colFirst="0" w:colLast="0"/>
      <w:bookmarkEnd w:id="2"/>
      <w:r>
        <w:t xml:space="preserve">Zvláštní cena poroty: dm drogerie </w:t>
      </w:r>
      <w:proofErr w:type="spellStart"/>
      <w:r>
        <w:t>markt</w:t>
      </w:r>
      <w:proofErr w:type="spellEnd"/>
      <w:r>
        <w:t xml:space="preserve"> s.r.o.</w:t>
      </w:r>
    </w:p>
    <w:p w14:paraId="00000022" w14:textId="75986676" w:rsidR="009F649C" w:rsidRDefault="00925E3A" w:rsidP="00DC5232">
      <w:pPr>
        <w:spacing w:after="0" w:line="240" w:lineRule="auto"/>
        <w:jc w:val="both"/>
        <w:rPr>
          <w:i/>
        </w:rPr>
      </w:pPr>
      <w:r>
        <w:rPr>
          <w:i/>
        </w:rPr>
        <w:t>Porota s</w:t>
      </w:r>
      <w:r>
        <w:rPr>
          <w:i/>
        </w:rPr>
        <w:t>e rozhodla udělit zvláštní ocenění společnosti, která prokázala velké úsilí především v oblasti péče o zaměstnané, transparentnosti odměňování a flexibility práce i ve směnném provozu. Pozitivně hodnotí také neexistenci smluvní doložky mlčenlivosti, což př</w:t>
      </w:r>
      <w:r>
        <w:rPr>
          <w:i/>
        </w:rPr>
        <w:t>ispívá k transparentnosti odměňování. Porota dále oceňuje takové zastoupení žen a mužů téměř na všech úrovních firemní hierarchie, které odpovídá poměru žen a mužů v zaměstnanecké populaci. Společnost aktivně podporuje snižování genderových stereotypů už v</w:t>
      </w:r>
      <w:r>
        <w:rPr>
          <w:i/>
        </w:rPr>
        <w:t>e fázi náboru. Porota dále pozitivně hodnotila úroveň komunikace se zaměstnanými, ať už se jedná o proces stížností včetně pozice ombudsmana, transparentní komunikaci pravidel pro odměňování či proaktivní zjišťování spokojenosti zaměstnaných.</w:t>
      </w:r>
    </w:p>
    <w:p w14:paraId="4A7EFD1B" w14:textId="77777777" w:rsidR="00DC5232" w:rsidRDefault="00DC5232" w:rsidP="00DC5232">
      <w:pPr>
        <w:spacing w:after="0" w:line="240" w:lineRule="auto"/>
        <w:jc w:val="both"/>
      </w:pPr>
    </w:p>
    <w:p w14:paraId="00000023" w14:textId="59315570" w:rsidR="009F649C" w:rsidRPr="00E60708" w:rsidRDefault="00925E3A" w:rsidP="00DC5232">
      <w:pPr>
        <w:spacing w:after="0" w:line="240" w:lineRule="auto"/>
        <w:jc w:val="both"/>
      </w:pPr>
      <w:r w:rsidRPr="00E60708">
        <w:t xml:space="preserve">Ocenění </w:t>
      </w:r>
      <w:r w:rsidR="00144CDD">
        <w:t>F</w:t>
      </w:r>
      <w:r w:rsidRPr="00E60708">
        <w:t>irma</w:t>
      </w:r>
      <w:r w:rsidRPr="00E60708">
        <w:t xml:space="preserve"> roku vyhlašuje Gender Studies, o.p.s. již od roku 2004. Jak říká </w:t>
      </w:r>
      <w:r w:rsidRPr="00825660">
        <w:rPr>
          <w:b/>
          <w:bCs/>
        </w:rPr>
        <w:t>ředitelka Gender Studies</w:t>
      </w:r>
      <w:r w:rsidRPr="00E60708">
        <w:t>, o.p.s. Johana Jonáková, téma rovných příležitostí považuje v kontextu trhu práce, pracovního uplatnění, pracovních podmínek a kultury na pracovišti za jednu ze stěž</w:t>
      </w:r>
      <w:r w:rsidRPr="00E60708">
        <w:t>ejních otázek genderové rovnosti.</w:t>
      </w:r>
    </w:p>
    <w:p w14:paraId="00000024" w14:textId="77777777" w:rsidR="009F649C" w:rsidRPr="00E60708" w:rsidRDefault="009F649C" w:rsidP="00DC5232">
      <w:pPr>
        <w:spacing w:after="0" w:line="240" w:lineRule="auto"/>
        <w:jc w:val="both"/>
        <w:rPr>
          <w:i/>
        </w:rPr>
      </w:pPr>
    </w:p>
    <w:p w14:paraId="00000025" w14:textId="510823CE" w:rsidR="009F649C" w:rsidRPr="00E60708" w:rsidRDefault="00925E3A" w:rsidP="00DC5232">
      <w:pPr>
        <w:spacing w:after="0" w:line="240" w:lineRule="auto"/>
        <w:jc w:val="both"/>
        <w:rPr>
          <w:i/>
        </w:rPr>
      </w:pPr>
      <w:r w:rsidRPr="00E60708">
        <w:rPr>
          <w:i/>
        </w:rPr>
        <w:t xml:space="preserve"> </w:t>
      </w:r>
      <w:r w:rsidR="00E60708" w:rsidRPr="00E60708">
        <w:rPr>
          <w:i/>
        </w:rPr>
        <w:t>„Přestože legislativně máme stejnou odměnu za stejnou práci ukotvenou v legislativě už od roku 1945, ukazuje se téma letošního ročníku ocenění jako nanejvýš aktuální! Rovnosti v odměňování jsme nedosáhli ani za socialismu, ani v devadesátých letech a jak ukázaly příspěvky dnešní konference, zaznamenané snížení pay gapu v posledních letech je relativní a spojené spíše s důsledk</w:t>
      </w:r>
      <w:r w:rsidR="00E534B0">
        <w:rPr>
          <w:i/>
        </w:rPr>
        <w:t>y</w:t>
      </w:r>
      <w:r w:rsidR="00E60708" w:rsidRPr="00E60708">
        <w:rPr>
          <w:i/>
        </w:rPr>
        <w:t xml:space="preserve"> pandemie, než se systémovými změnami…“ </w:t>
      </w:r>
    </w:p>
    <w:p w14:paraId="00000026" w14:textId="2A79C21B" w:rsidR="009F649C" w:rsidRDefault="009F649C" w:rsidP="00DC5232">
      <w:pPr>
        <w:spacing w:after="0" w:line="240" w:lineRule="auto"/>
        <w:jc w:val="both"/>
        <w:rPr>
          <w:i/>
        </w:rPr>
      </w:pPr>
    </w:p>
    <w:p w14:paraId="1C184D71" w14:textId="6B5FB467" w:rsidR="00ED0F8C" w:rsidRDefault="00ED0F8C" w:rsidP="00DC5232">
      <w:pPr>
        <w:spacing w:after="0" w:line="240" w:lineRule="auto"/>
        <w:jc w:val="both"/>
        <w:rPr>
          <w:i/>
        </w:rPr>
      </w:pPr>
    </w:p>
    <w:p w14:paraId="5198B0C7" w14:textId="69C2A8B8" w:rsidR="00ED0F8C" w:rsidRDefault="00ED0F8C" w:rsidP="00DC5232">
      <w:pPr>
        <w:spacing w:after="0" w:line="240" w:lineRule="auto"/>
        <w:jc w:val="both"/>
        <w:rPr>
          <w:i/>
        </w:rPr>
      </w:pPr>
    </w:p>
    <w:p w14:paraId="6BCF804B" w14:textId="33AFDAE2" w:rsidR="00ED0F8C" w:rsidRPr="00ED0F8C" w:rsidRDefault="00ED0F8C" w:rsidP="00DC5232">
      <w:pPr>
        <w:spacing w:after="0" w:line="240" w:lineRule="auto"/>
        <w:jc w:val="both"/>
        <w:rPr>
          <w:b/>
          <w:bCs/>
          <w:iCs/>
        </w:rPr>
      </w:pPr>
      <w:r>
        <w:rPr>
          <w:b/>
          <w:bCs/>
          <w:iCs/>
        </w:rPr>
        <w:lastRenderedPageBreak/>
        <w:t>Téma nového ročníku ocenění</w:t>
      </w:r>
    </w:p>
    <w:p w14:paraId="00000027" w14:textId="3E1E1987" w:rsidR="009F649C" w:rsidRDefault="00925E3A" w:rsidP="00DC5232">
      <w:pPr>
        <w:spacing w:after="0" w:line="240" w:lineRule="auto"/>
        <w:jc w:val="both"/>
      </w:pPr>
      <w:r>
        <w:t xml:space="preserve">Při příležitosti dnešního slavnostního předávání ocenění, které proběhlo v rámci tematické konference v pražském kině Přítomnost, byl také vyhlášen další, </w:t>
      </w:r>
      <w:r>
        <w:rPr>
          <w:b/>
        </w:rPr>
        <w:t>15. ročník soutěže Firma roku: Rovné příle</w:t>
      </w:r>
      <w:r>
        <w:rPr>
          <w:b/>
        </w:rPr>
        <w:t xml:space="preserve">žitosti, </w:t>
      </w:r>
      <w:r w:rsidRPr="00ED0F8C">
        <w:rPr>
          <w:bCs/>
        </w:rPr>
        <w:t>které nese téma</w:t>
      </w:r>
      <w:r>
        <w:rPr>
          <w:b/>
        </w:rPr>
        <w:t xml:space="preserve"> digitalizace práce</w:t>
      </w:r>
      <w:r>
        <w:t xml:space="preserve">. Toto téma je čím dál více aktuální i z genderového hlediska. Dochází k turbulentním změnám v pracovních náplních a pozicích, pandemie </w:t>
      </w:r>
      <w:r w:rsidR="00053A1B">
        <w:t>c</w:t>
      </w:r>
      <w:r>
        <w:t>ovidu-19 donutila zaměstnavatele více outsourcovat, více lidí se posunula z</w:t>
      </w:r>
      <w:r>
        <w:t xml:space="preserve">e zaměstnaneckých pozic do OSVČ, což má nemalé dopady nejen na ženy, které pracují častěji v prekérních formách práce. </w:t>
      </w:r>
    </w:p>
    <w:p w14:paraId="00000028" w14:textId="77777777" w:rsidR="009F649C" w:rsidRDefault="009F649C" w:rsidP="00DC5232">
      <w:pPr>
        <w:spacing w:after="0" w:line="240" w:lineRule="auto"/>
        <w:jc w:val="both"/>
        <w:rPr>
          <w:i/>
        </w:rPr>
      </w:pPr>
    </w:p>
    <w:p w14:paraId="00000029" w14:textId="77777777" w:rsidR="009F649C" w:rsidRDefault="00925E3A" w:rsidP="00DC5232">
      <w:pPr>
        <w:spacing w:after="0" w:line="240" w:lineRule="auto"/>
        <w:jc w:val="both"/>
        <w:rPr>
          <w:b/>
        </w:rPr>
      </w:pPr>
      <w:r>
        <w:rPr>
          <w:b/>
        </w:rPr>
        <w:t>Kontakty pro média</w:t>
      </w:r>
    </w:p>
    <w:p w14:paraId="0000002A" w14:textId="77777777" w:rsidR="009F649C" w:rsidRDefault="00925E3A" w:rsidP="00DC5232">
      <w:pPr>
        <w:spacing w:after="0" w:line="240" w:lineRule="auto"/>
        <w:jc w:val="both"/>
      </w:pPr>
      <w:r>
        <w:t xml:space="preserve">Johana Jonáková </w:t>
      </w:r>
    </w:p>
    <w:p w14:paraId="0000002B" w14:textId="77777777" w:rsidR="009F649C" w:rsidRDefault="00925E3A" w:rsidP="00DC5232">
      <w:pPr>
        <w:spacing w:after="0" w:line="240" w:lineRule="auto"/>
        <w:jc w:val="both"/>
      </w:pPr>
      <w:r>
        <w:t>ředitelka Gender Studies, o.p.s.</w:t>
      </w:r>
    </w:p>
    <w:p w14:paraId="0000002C" w14:textId="77777777" w:rsidR="009F649C" w:rsidRDefault="00925E3A" w:rsidP="00DC5232">
      <w:pPr>
        <w:spacing w:after="0" w:line="240" w:lineRule="auto"/>
        <w:jc w:val="both"/>
      </w:pPr>
      <w:r>
        <w:t>e: johana.jonakova@genderstudies.cz</w:t>
      </w:r>
    </w:p>
    <w:p w14:paraId="0000002D" w14:textId="77777777" w:rsidR="009F649C" w:rsidRDefault="00925E3A" w:rsidP="00DC5232">
      <w:pPr>
        <w:spacing w:after="0" w:line="240" w:lineRule="auto"/>
        <w:jc w:val="both"/>
        <w:rPr>
          <w:highlight w:val="red"/>
        </w:rPr>
      </w:pPr>
      <w:r>
        <w:t>t: +420 774 913 350</w:t>
      </w:r>
    </w:p>
    <w:p w14:paraId="0000002E" w14:textId="77777777" w:rsidR="009F649C" w:rsidRDefault="009F649C" w:rsidP="00DC5232">
      <w:pPr>
        <w:spacing w:after="0" w:line="240" w:lineRule="auto"/>
        <w:jc w:val="both"/>
      </w:pPr>
    </w:p>
    <w:p w14:paraId="0000002F" w14:textId="77777777" w:rsidR="009F649C" w:rsidRDefault="00925E3A" w:rsidP="00DC5232">
      <w:pPr>
        <w:spacing w:after="0" w:line="240" w:lineRule="auto"/>
        <w:jc w:val="both"/>
      </w:pPr>
      <w:r>
        <w:t>Josef Voš</w:t>
      </w:r>
      <w:r>
        <w:t>mik</w:t>
      </w:r>
    </w:p>
    <w:p w14:paraId="00000030" w14:textId="77777777" w:rsidR="009F649C" w:rsidRDefault="00925E3A" w:rsidP="00DC5232">
      <w:pPr>
        <w:spacing w:after="0" w:line="240" w:lineRule="auto"/>
        <w:jc w:val="both"/>
      </w:pPr>
      <w:r>
        <w:t>kontakt pro média</w:t>
      </w:r>
    </w:p>
    <w:p w14:paraId="00000031" w14:textId="77777777" w:rsidR="009F649C" w:rsidRDefault="00925E3A" w:rsidP="00DC5232">
      <w:pPr>
        <w:spacing w:after="0" w:line="240" w:lineRule="auto"/>
        <w:jc w:val="both"/>
      </w:pPr>
      <w:r>
        <w:t>e: josef.vosmik@genderstudies.cz</w:t>
      </w:r>
    </w:p>
    <w:p w14:paraId="00000032" w14:textId="617AD7CB" w:rsidR="009F649C" w:rsidRDefault="00925E3A" w:rsidP="00DC5232">
      <w:pPr>
        <w:spacing w:after="0" w:line="240" w:lineRule="auto"/>
        <w:jc w:val="both"/>
      </w:pPr>
      <w:r>
        <w:t>t: +420 773 440</w:t>
      </w:r>
      <w:r w:rsidR="00DC5232">
        <w:t> </w:t>
      </w:r>
      <w:r>
        <w:t>845</w:t>
      </w:r>
    </w:p>
    <w:p w14:paraId="75B2F1BB" w14:textId="77777777" w:rsidR="00DC5232" w:rsidRDefault="00DC5232" w:rsidP="00DC5232">
      <w:pPr>
        <w:spacing w:after="0" w:line="240" w:lineRule="auto"/>
        <w:jc w:val="both"/>
      </w:pPr>
    </w:p>
    <w:p w14:paraId="00000033" w14:textId="77777777" w:rsidR="009F649C" w:rsidRPr="000053EF" w:rsidRDefault="00925E3A" w:rsidP="000053EF">
      <w:pPr>
        <w:pStyle w:val="Odstavecseseznamem"/>
        <w:numPr>
          <w:ilvl w:val="0"/>
          <w:numId w:val="2"/>
        </w:numPr>
        <w:spacing w:after="0" w:line="240" w:lineRule="auto"/>
        <w:jc w:val="both"/>
        <w:rPr>
          <w:color w:val="000000" w:themeColor="text1"/>
          <w:u w:val="single"/>
        </w:rPr>
      </w:pPr>
      <w:r w:rsidRPr="000053EF">
        <w:rPr>
          <w:color w:val="000000" w:themeColor="text1"/>
        </w:rPr>
        <w:t xml:space="preserve">Webové stránky ocenění Firma roku: Rovné příležitosti: </w:t>
      </w:r>
      <w:hyperlink r:id="rId10">
        <w:r w:rsidRPr="000053EF">
          <w:rPr>
            <w:color w:val="000000" w:themeColor="text1"/>
            <w:u w:val="single"/>
          </w:rPr>
          <w:t>http://rovneprilezitosti.ecn.cz</w:t>
        </w:r>
      </w:hyperlink>
    </w:p>
    <w:p w14:paraId="00000034" w14:textId="1D754BDD" w:rsidR="009F649C" w:rsidRPr="000053EF" w:rsidRDefault="00925E3A" w:rsidP="000053EF">
      <w:pPr>
        <w:pStyle w:val="Odstavecseseznamem"/>
        <w:numPr>
          <w:ilvl w:val="0"/>
          <w:numId w:val="2"/>
        </w:numPr>
        <w:spacing w:after="0" w:line="240" w:lineRule="auto"/>
        <w:jc w:val="both"/>
        <w:rPr>
          <w:color w:val="000000" w:themeColor="text1"/>
        </w:rPr>
      </w:pPr>
      <w:r w:rsidRPr="000053EF">
        <w:rPr>
          <w:color w:val="000000" w:themeColor="text1"/>
        </w:rPr>
        <w:t xml:space="preserve">Media </w:t>
      </w:r>
      <w:proofErr w:type="spellStart"/>
      <w:r w:rsidRPr="000053EF">
        <w:rPr>
          <w:color w:val="000000" w:themeColor="text1"/>
        </w:rPr>
        <w:t>kit</w:t>
      </w:r>
      <w:proofErr w:type="spellEnd"/>
      <w:r w:rsidRPr="000053EF">
        <w:rPr>
          <w:color w:val="000000" w:themeColor="text1"/>
        </w:rPr>
        <w:t xml:space="preserve"> s fotografiemi a doprovodným mate</w:t>
      </w:r>
      <w:r w:rsidRPr="000053EF">
        <w:rPr>
          <w:color w:val="000000" w:themeColor="text1"/>
        </w:rPr>
        <w:t>riálem naleznet</w:t>
      </w:r>
      <w:r w:rsidR="00DD13FC" w:rsidRPr="000053EF">
        <w:rPr>
          <w:color w:val="000000" w:themeColor="text1"/>
        </w:rPr>
        <w:t xml:space="preserve">e zde: </w:t>
      </w:r>
      <w:hyperlink r:id="rId11" w:history="1">
        <w:r w:rsidR="000053EF" w:rsidRPr="000053EF">
          <w:rPr>
            <w:rStyle w:val="Hypertextovodkaz"/>
            <w:color w:val="000000" w:themeColor="text1"/>
          </w:rPr>
          <w:t>https://rovneprilezitosti.ecn.cz/cz/media</w:t>
        </w:r>
      </w:hyperlink>
      <w:r w:rsidR="000053EF" w:rsidRPr="000053EF">
        <w:rPr>
          <w:color w:val="000000" w:themeColor="text1"/>
        </w:rPr>
        <w:t xml:space="preserve"> </w:t>
      </w:r>
    </w:p>
    <w:p w14:paraId="00000035" w14:textId="77777777" w:rsidR="009F649C" w:rsidRPr="000053EF" w:rsidRDefault="00925E3A" w:rsidP="000053EF">
      <w:pPr>
        <w:pStyle w:val="Odstavecseseznamem"/>
        <w:numPr>
          <w:ilvl w:val="0"/>
          <w:numId w:val="2"/>
        </w:numPr>
        <w:spacing w:after="0" w:line="240" w:lineRule="auto"/>
        <w:jc w:val="both"/>
        <w:rPr>
          <w:color w:val="000000" w:themeColor="text1"/>
        </w:rPr>
      </w:pPr>
      <w:r w:rsidRPr="000053EF">
        <w:rPr>
          <w:color w:val="000000" w:themeColor="text1"/>
        </w:rPr>
        <w:t xml:space="preserve">Více k tématu GPG: </w:t>
      </w:r>
      <w:hyperlink r:id="rId12">
        <w:r w:rsidRPr="000053EF">
          <w:rPr>
            <w:color w:val="000000" w:themeColor="text1"/>
            <w:u w:val="single"/>
          </w:rPr>
          <w:t>https://rovnaodmena.cz/</w:t>
        </w:r>
      </w:hyperlink>
      <w:r w:rsidRPr="000053EF">
        <w:rPr>
          <w:color w:val="000000" w:themeColor="text1"/>
        </w:rPr>
        <w:t xml:space="preserve"> </w:t>
      </w:r>
    </w:p>
    <w:p w14:paraId="00000036" w14:textId="77777777" w:rsidR="009F649C" w:rsidRDefault="009F649C" w:rsidP="00DC5232">
      <w:pPr>
        <w:spacing w:after="0" w:line="240" w:lineRule="auto"/>
        <w:jc w:val="both"/>
        <w:rPr>
          <w:b/>
        </w:rPr>
      </w:pPr>
    </w:p>
    <w:p w14:paraId="3E063528" w14:textId="77777777" w:rsidR="00951CCD" w:rsidRDefault="00951CCD" w:rsidP="00DC5232">
      <w:pPr>
        <w:spacing w:after="0" w:line="240" w:lineRule="auto"/>
        <w:jc w:val="both"/>
        <w:rPr>
          <w:b/>
        </w:rPr>
      </w:pPr>
    </w:p>
    <w:p w14:paraId="0000003D" w14:textId="2C8323EE" w:rsidR="009F649C" w:rsidRDefault="00925E3A" w:rsidP="00DC5232">
      <w:pPr>
        <w:spacing w:after="0" w:line="240" w:lineRule="auto"/>
        <w:jc w:val="both"/>
        <w:rPr>
          <w:b/>
        </w:rPr>
        <w:sectPr w:rsidR="009F649C">
          <w:headerReference w:type="default" r:id="rId13"/>
          <w:footerReference w:type="default" r:id="rId14"/>
          <w:pgSz w:w="11906" w:h="16838"/>
          <w:pgMar w:top="1417" w:right="1417" w:bottom="1417" w:left="1417" w:header="568" w:footer="708" w:gutter="0"/>
          <w:pgNumType w:start="1"/>
          <w:cols w:space="708"/>
        </w:sectPr>
      </w:pPr>
      <w:r>
        <w:rPr>
          <w:b/>
        </w:rPr>
        <w:t>Logo letošního ročníku ocenění</w:t>
      </w:r>
    </w:p>
    <w:p w14:paraId="0000003E" w14:textId="77777777" w:rsidR="009F649C" w:rsidRDefault="009F649C" w:rsidP="00DC5232">
      <w:pPr>
        <w:widowControl w:val="0"/>
        <w:pBdr>
          <w:top w:val="nil"/>
          <w:left w:val="nil"/>
          <w:bottom w:val="nil"/>
          <w:right w:val="nil"/>
          <w:between w:val="nil"/>
        </w:pBdr>
        <w:spacing w:after="0" w:line="240" w:lineRule="auto"/>
        <w:jc w:val="both"/>
        <w:rPr>
          <w:b/>
          <w:color w:val="3D0F7B"/>
        </w:rPr>
      </w:pPr>
    </w:p>
    <w:tbl>
      <w:tblPr>
        <w:tblStyle w:val="a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72"/>
      </w:tblGrid>
      <w:tr w:rsidR="009F649C" w14:paraId="7B53C1B6" w14:textId="77777777">
        <w:tc>
          <w:tcPr>
            <w:tcW w:w="4326" w:type="dxa"/>
          </w:tcPr>
          <w:p w14:paraId="0000003F" w14:textId="77777777" w:rsidR="009F649C" w:rsidRDefault="00925E3A" w:rsidP="00DC5232">
            <w:pPr>
              <w:keepNext/>
            </w:pPr>
            <w:r>
              <w:rPr>
                <w:noProof/>
              </w:rPr>
              <w:drawing>
                <wp:inline distT="114300" distB="114300" distL="114300" distR="114300" wp14:anchorId="73132B11" wp14:editId="416832CC">
                  <wp:extent cx="2257743" cy="227221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l="21100" t="21914" r="21876" b="21091"/>
                          <a:stretch>
                            <a:fillRect/>
                          </a:stretch>
                        </pic:blipFill>
                        <pic:spPr>
                          <a:xfrm>
                            <a:off x="0" y="0"/>
                            <a:ext cx="2257743" cy="2272215"/>
                          </a:xfrm>
                          <a:prstGeom prst="rect">
                            <a:avLst/>
                          </a:prstGeom>
                          <a:ln/>
                        </pic:spPr>
                      </pic:pic>
                    </a:graphicData>
                  </a:graphic>
                </wp:inline>
              </w:drawing>
            </w:r>
          </w:p>
        </w:tc>
      </w:tr>
    </w:tbl>
    <w:p w14:paraId="00000040" w14:textId="77777777" w:rsidR="009F649C" w:rsidRDefault="009F649C" w:rsidP="00DC5232">
      <w:pPr>
        <w:spacing w:after="0" w:line="240" w:lineRule="auto"/>
        <w:rPr>
          <w:b/>
          <w:color w:val="3D0F7B"/>
        </w:rPr>
      </w:pPr>
    </w:p>
    <w:p w14:paraId="00000041" w14:textId="77777777" w:rsidR="009F649C" w:rsidRDefault="009F649C" w:rsidP="00DC5232">
      <w:pPr>
        <w:spacing w:after="0" w:line="240" w:lineRule="auto"/>
        <w:jc w:val="both"/>
      </w:pPr>
      <w:bookmarkStart w:id="3" w:name="_heading=h.7pp81hvrfbuf" w:colFirst="0" w:colLast="0"/>
      <w:bookmarkEnd w:id="3"/>
    </w:p>
    <w:sectPr w:rsidR="009F649C">
      <w:type w:val="continuous"/>
      <w:pgSz w:w="11906" w:h="16838"/>
      <w:pgMar w:top="1417" w:right="1417" w:bottom="1417" w:left="1417"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380A" w14:textId="77777777" w:rsidR="00925E3A" w:rsidRDefault="00925E3A">
      <w:pPr>
        <w:spacing w:after="0" w:line="240" w:lineRule="auto"/>
      </w:pPr>
      <w:r>
        <w:separator/>
      </w:r>
    </w:p>
  </w:endnote>
  <w:endnote w:type="continuationSeparator" w:id="0">
    <w:p w14:paraId="5304078E" w14:textId="77777777" w:rsidR="00925E3A" w:rsidRDefault="0092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DINPro-Regular">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INPro-Regular CE">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9F649C" w:rsidRDefault="00925E3A">
    <w:pPr>
      <w:pBdr>
        <w:top w:val="nil"/>
        <w:left w:val="nil"/>
        <w:bottom w:val="nil"/>
        <w:right w:val="nil"/>
        <w:between w:val="nil"/>
      </w:pBdr>
      <w:tabs>
        <w:tab w:val="center" w:pos="4536"/>
        <w:tab w:val="right" w:pos="9072"/>
        <w:tab w:val="right" w:pos="9046"/>
      </w:tabs>
      <w:spacing w:after="0" w:line="240" w:lineRule="auto"/>
      <w:jc w:val="center"/>
      <w:rPr>
        <w:rFonts w:ascii="DINPro-Regular" w:eastAsia="DINPro-Regular" w:hAnsi="DINPro-Regular" w:cs="DINPro-Regular"/>
        <w:b/>
        <w:color w:val="EF402B"/>
        <w:sz w:val="20"/>
        <w:szCs w:val="20"/>
      </w:rPr>
    </w:pPr>
    <w:r>
      <w:rPr>
        <w:rFonts w:ascii="DINPro-Regular CE" w:eastAsia="DINPro-Regular CE" w:hAnsi="DINPro-Regular CE" w:cs="DINPro-Regular CE"/>
        <w:b/>
        <w:color w:val="999999"/>
        <w:sz w:val="20"/>
        <w:szCs w:val="20"/>
      </w:rPr>
      <w:t xml:space="preserve">GENDER STUDIES, o.p.s., </w:t>
    </w:r>
    <w:r>
      <w:rPr>
        <w:rFonts w:ascii="DINPro-Regular CE" w:eastAsia="DINPro-Regular CE" w:hAnsi="DINPro-Regular CE" w:cs="DINPro-Regular CE"/>
        <w:b/>
        <w:color w:val="999999"/>
        <w:sz w:val="20"/>
        <w:szCs w:val="20"/>
      </w:rPr>
      <w:t xml:space="preserve">MASARYKOVO NÁBŘ. 8, 120 00 PRAHA 2 </w:t>
    </w:r>
    <w:r>
      <w:rPr>
        <w:rFonts w:ascii="DINPro-Regular" w:eastAsia="DINPro-Regular" w:hAnsi="DINPro-Regular" w:cs="DINPro-Regular"/>
        <w:b/>
        <w:color w:val="999999"/>
        <w:sz w:val="20"/>
        <w:szCs w:val="20"/>
      </w:rPr>
      <w:t xml:space="preserve">| </w:t>
    </w:r>
    <w:hyperlink r:id="rId1">
      <w:r>
        <w:rPr>
          <w:rFonts w:ascii="DINPro-Regular" w:eastAsia="DINPro-Regular" w:hAnsi="DINPro-Regular" w:cs="DINPro-Regular"/>
          <w:b/>
          <w:color w:val="EF402B"/>
          <w:sz w:val="20"/>
          <w:szCs w:val="20"/>
          <w:u w:val="single"/>
        </w:rPr>
        <w:t>www.genderstudies.cz</w:t>
      </w:r>
    </w:hyperlink>
  </w:p>
  <w:p w14:paraId="00000044" w14:textId="77777777" w:rsidR="009F649C" w:rsidRDefault="00925E3A">
    <w:pPr>
      <w:pBdr>
        <w:top w:val="nil"/>
        <w:left w:val="nil"/>
        <w:bottom w:val="nil"/>
        <w:right w:val="nil"/>
        <w:between w:val="nil"/>
      </w:pBdr>
      <w:tabs>
        <w:tab w:val="center" w:pos="4536"/>
        <w:tab w:val="right" w:pos="9072"/>
      </w:tabs>
      <w:spacing w:after="0" w:line="240" w:lineRule="auto"/>
      <w:jc w:val="center"/>
      <w:rPr>
        <w:color w:val="000000"/>
      </w:rPr>
    </w:pPr>
    <w:r>
      <w:rPr>
        <w:rFonts w:ascii="DINPro-Regular" w:eastAsia="DINPro-Regular" w:hAnsi="DINPro-Regular" w:cs="DINPro-Regular"/>
        <w:b/>
        <w:color w:val="999999"/>
        <w:sz w:val="20"/>
        <w:szCs w:val="20"/>
      </w:rPr>
      <w:t xml:space="preserve">KONTAKTY: </w:t>
    </w:r>
    <w:hyperlink r:id="rId2">
      <w:r>
        <w:rPr>
          <w:rFonts w:ascii="DINPro-Regular" w:eastAsia="DINPro-Regular" w:hAnsi="DINPro-Regular" w:cs="DINPro-Regular"/>
          <w:b/>
          <w:color w:val="EF402B"/>
          <w:sz w:val="20"/>
          <w:szCs w:val="20"/>
          <w:u w:val="single"/>
        </w:rPr>
        <w:t>firma.roku@genderstudies.cz</w:t>
      </w:r>
    </w:hyperlink>
    <w:r>
      <w:rPr>
        <w:rFonts w:ascii="DINPro-Regular" w:eastAsia="DINPro-Regular" w:hAnsi="DINPro-Regular" w:cs="DINPro-Regular"/>
        <w:b/>
        <w:color w:val="999999"/>
        <w:sz w:val="20"/>
        <w:szCs w:val="20"/>
      </w:rPr>
      <w:t xml:space="preserve"> | +420 777 910 933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7042" w14:textId="77777777" w:rsidR="00925E3A" w:rsidRDefault="00925E3A">
      <w:pPr>
        <w:spacing w:after="0" w:line="240" w:lineRule="auto"/>
      </w:pPr>
      <w:r>
        <w:separator/>
      </w:r>
    </w:p>
  </w:footnote>
  <w:footnote w:type="continuationSeparator" w:id="0">
    <w:p w14:paraId="2A61F16C" w14:textId="77777777" w:rsidR="00925E3A" w:rsidRDefault="00925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9F649C" w:rsidRDefault="00925E3A">
    <w:pPr>
      <w:pBdr>
        <w:top w:val="nil"/>
        <w:left w:val="nil"/>
        <w:bottom w:val="nil"/>
        <w:right w:val="nil"/>
        <w:between w:val="nil"/>
      </w:pBdr>
      <w:tabs>
        <w:tab w:val="center" w:pos="4536"/>
        <w:tab w:val="right" w:pos="9072"/>
      </w:tabs>
      <w:spacing w:after="0" w:line="240" w:lineRule="auto"/>
      <w:rPr>
        <w:color w:val="000000"/>
      </w:rPr>
    </w:pPr>
    <w:r>
      <w:rPr>
        <w:rFonts w:ascii="Cambria" w:eastAsia="Cambria" w:hAnsi="Cambria" w:cs="Cambria"/>
        <w:noProof/>
        <w:color w:val="000000"/>
        <w:sz w:val="20"/>
        <w:szCs w:val="20"/>
      </w:rPr>
      <w:drawing>
        <wp:inline distT="0" distB="0" distL="0" distR="0" wp14:anchorId="55718D41" wp14:editId="0044EBF5">
          <wp:extent cx="2114550" cy="4381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14550" cy="438150"/>
                  </a:xfrm>
                  <a:prstGeom prst="rect">
                    <a:avLst/>
                  </a:prstGeom>
                  <a:ln/>
                </pic:spPr>
              </pic:pic>
            </a:graphicData>
          </a:graphic>
        </wp:inline>
      </w:drawing>
    </w:r>
    <w:r>
      <w:rPr>
        <w:rFonts w:ascii="Cambria" w:eastAsia="Cambria" w:hAnsi="Cambria" w:cs="Cambria"/>
        <w:color w:val="000000"/>
        <w:sz w:val="20"/>
        <w:szCs w:val="20"/>
      </w:rPr>
      <w:tab/>
    </w:r>
    <w:r>
      <w:rPr>
        <w:rFonts w:ascii="Cambria" w:eastAsia="Cambria" w:hAnsi="Cambria" w:cs="Cambria"/>
        <w:noProof/>
        <w:color w:val="000000"/>
        <w:sz w:val="20"/>
        <w:szCs w:val="20"/>
      </w:rPr>
      <w:drawing>
        <wp:inline distT="0" distB="0" distL="0" distR="0" wp14:anchorId="6F1CB459" wp14:editId="3B3FA9D4">
          <wp:extent cx="1036320" cy="381000"/>
          <wp:effectExtent l="0" t="0" r="0" b="0"/>
          <wp:docPr id="2" name="image3.jpg" descr="GS_200_dpi_barva"/>
          <wp:cNvGraphicFramePr/>
          <a:graphic xmlns:a="http://schemas.openxmlformats.org/drawingml/2006/main">
            <a:graphicData uri="http://schemas.openxmlformats.org/drawingml/2006/picture">
              <pic:pic xmlns:pic="http://schemas.openxmlformats.org/drawingml/2006/picture">
                <pic:nvPicPr>
                  <pic:cNvPr id="0" name="image3.jpg" descr="GS_200_dpi_barva"/>
                  <pic:cNvPicPr preferRelativeResize="0"/>
                </pic:nvPicPr>
                <pic:blipFill>
                  <a:blip r:embed="rId2"/>
                  <a:srcRect/>
                  <a:stretch>
                    <a:fillRect/>
                  </a:stretch>
                </pic:blipFill>
                <pic:spPr>
                  <a:xfrm>
                    <a:off x="0" y="0"/>
                    <a:ext cx="1036320" cy="381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D1B"/>
    <w:multiLevelType w:val="hybridMultilevel"/>
    <w:tmpl w:val="7CF89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BB93421"/>
    <w:multiLevelType w:val="multilevel"/>
    <w:tmpl w:val="30603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9C"/>
    <w:rsid w:val="000053EF"/>
    <w:rsid w:val="00053A1B"/>
    <w:rsid w:val="00144CDD"/>
    <w:rsid w:val="002849A6"/>
    <w:rsid w:val="002B69A7"/>
    <w:rsid w:val="0037749A"/>
    <w:rsid w:val="0038611C"/>
    <w:rsid w:val="00666C62"/>
    <w:rsid w:val="00825660"/>
    <w:rsid w:val="00925E3A"/>
    <w:rsid w:val="00951CCD"/>
    <w:rsid w:val="009F649C"/>
    <w:rsid w:val="00DC5232"/>
    <w:rsid w:val="00DD13FC"/>
    <w:rsid w:val="00E3737C"/>
    <w:rsid w:val="00E534B0"/>
    <w:rsid w:val="00E60708"/>
    <w:rsid w:val="00ED0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80F7"/>
  <w15:docId w15:val="{D7E14CC2-3799-4BEC-8ACA-990C3531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5B20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20D3"/>
  </w:style>
  <w:style w:type="paragraph" w:styleId="Zpat">
    <w:name w:val="footer"/>
    <w:basedOn w:val="Normln"/>
    <w:link w:val="ZpatChar"/>
    <w:uiPriority w:val="99"/>
    <w:unhideWhenUsed/>
    <w:rsid w:val="005B20D3"/>
    <w:pPr>
      <w:tabs>
        <w:tab w:val="center" w:pos="4536"/>
        <w:tab w:val="right" w:pos="9072"/>
      </w:tabs>
      <w:spacing w:after="0" w:line="240" w:lineRule="auto"/>
    </w:pPr>
  </w:style>
  <w:style w:type="character" w:customStyle="1" w:styleId="ZpatChar">
    <w:name w:val="Zápatí Char"/>
    <w:basedOn w:val="Standardnpsmoodstavce"/>
    <w:link w:val="Zpat"/>
    <w:uiPriority w:val="99"/>
    <w:rsid w:val="005B20D3"/>
  </w:style>
  <w:style w:type="character" w:styleId="Hypertextovodkaz">
    <w:name w:val="Hyperlink"/>
    <w:basedOn w:val="Standardnpsmoodstavce"/>
    <w:uiPriority w:val="99"/>
    <w:unhideWhenUsed/>
    <w:rsid w:val="006C6732"/>
    <w:rPr>
      <w:color w:val="0563C1" w:themeColor="hyperlink"/>
      <w:u w:val="single"/>
    </w:rPr>
  </w:style>
  <w:style w:type="character" w:styleId="Nevyeenzmnka">
    <w:name w:val="Unresolved Mention"/>
    <w:basedOn w:val="Standardnpsmoodstavce"/>
    <w:uiPriority w:val="99"/>
    <w:semiHidden/>
    <w:unhideWhenUsed/>
    <w:rsid w:val="006C6732"/>
    <w:rPr>
      <w:color w:val="605E5C"/>
      <w:shd w:val="clear" w:color="auto" w:fill="E1DFDD"/>
    </w:rPr>
  </w:style>
  <w:style w:type="character" w:customStyle="1" w:styleId="Hyperlink0">
    <w:name w:val="Hyperlink.0"/>
    <w:basedOn w:val="Standardnpsmoodstavce"/>
    <w:uiPriority w:val="99"/>
    <w:rsid w:val="0076624A"/>
    <w:rPr>
      <w:rFonts w:ascii="DINPro-Regular" w:hAnsi="DINPro-Regular" w:cs="DINPro-Regular"/>
      <w:b/>
      <w:bCs/>
      <w:color w:val="0000FF"/>
      <w:sz w:val="20"/>
      <w:szCs w:val="20"/>
      <w:u w:val="single" w:color="0000FF"/>
    </w:rPr>
  </w:style>
  <w:style w:type="character" w:customStyle="1" w:styleId="Hyperlink1">
    <w:name w:val="Hyperlink.1"/>
    <w:basedOn w:val="Standardnpsmoodstavce"/>
    <w:uiPriority w:val="99"/>
    <w:rsid w:val="0076624A"/>
    <w:rPr>
      <w:rFonts w:ascii="DINPro-Regular" w:hAnsi="DINPro-Regular" w:cs="DINPro-Regular"/>
      <w:b/>
      <w:bCs/>
      <w:color w:val="0000FF"/>
      <w:sz w:val="20"/>
      <w:szCs w:val="20"/>
      <w:u w:val="single" w:color="0000FF"/>
      <w:lang w:val="en-US"/>
    </w:rPr>
  </w:style>
  <w:style w:type="paragraph" w:styleId="Titulek">
    <w:name w:val="caption"/>
    <w:basedOn w:val="Normln"/>
    <w:next w:val="Normln"/>
    <w:uiPriority w:val="35"/>
    <w:unhideWhenUsed/>
    <w:qFormat/>
    <w:rsid w:val="0076624A"/>
    <w:pPr>
      <w:spacing w:after="200" w:line="240" w:lineRule="auto"/>
    </w:pPr>
    <w:rPr>
      <w:i/>
      <w:iCs/>
      <w:color w:val="44546A" w:themeColor="text2"/>
      <w:sz w:val="18"/>
      <w:szCs w:val="18"/>
    </w:rPr>
  </w:style>
  <w:style w:type="table" w:styleId="Mkatabulky">
    <w:name w:val="Table Grid"/>
    <w:basedOn w:val="Normlntabulka"/>
    <w:uiPriority w:val="39"/>
    <w:rsid w:val="00766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329F0"/>
    <w:pPr>
      <w:ind w:left="720"/>
      <w:contextualSpacing/>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ovnaodmen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vneprilezitosti.ecn.cz/cz/media"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rovneprilezitosti.ecn.cz" TargetMode="External"/><Relationship Id="rId4" Type="http://schemas.openxmlformats.org/officeDocument/2006/relationships/styles" Target="styles.xml"/><Relationship Id="rId9" Type="http://schemas.openxmlformats.org/officeDocument/2006/relationships/hyperlink" Target="http://www.rovnaodmena.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irma.roku@genderstudies.cz" TargetMode="External"/><Relationship Id="rId1" Type="http://schemas.openxmlformats.org/officeDocument/2006/relationships/hyperlink" Target="http://www.genderstudies.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Kwt/aXC1jPYVpyaX40oXA04Q==">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FB73C2-B428-4A68-B285-B649FE4E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1152</Words>
  <Characters>6802</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Königsmarková Gender Studies, o.p.s.</dc:creator>
  <cp:lastModifiedBy>Anna Kotková, Gender Studies, o.p.s.</cp:lastModifiedBy>
  <cp:revision>19</cp:revision>
  <dcterms:created xsi:type="dcterms:W3CDTF">2022-10-07T10:52:00Z</dcterms:created>
  <dcterms:modified xsi:type="dcterms:W3CDTF">2022-10-07T11:28:00Z</dcterms:modified>
</cp:coreProperties>
</file>