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Lines="200" w:afterLines="150"/>
        <w:rPr>
          <w:rFonts w:ascii="Arial" w:eastAsia="Avenir Next Regular" w:hAnsi="Arial" w:cs="Arial"/>
          <w:b/>
          <w:bCs/>
          <w:kern w:val="1"/>
          <w:sz w:val="24"/>
          <w:szCs w:val="24"/>
        </w:rPr>
      </w:pPr>
      <w:r w:rsidRPr="00983950">
        <w:rPr>
          <w:rFonts w:ascii="Arial" w:hAnsi="Arial" w:cs="Arial"/>
          <w:b/>
          <w:bCs/>
          <w:kern w:val="1"/>
          <w:sz w:val="24"/>
          <w:szCs w:val="24"/>
        </w:rPr>
        <w:t>Obchodní řetězce zneužívají svého postavení vůči českým dodavatelům. Doplácejí na to i spotřebitelé.</w:t>
      </w:r>
    </w:p>
    <w:p w:rsidR="00843F37" w:rsidRPr="002B4F39"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50"/>
        <w:jc w:val="both"/>
        <w:rPr>
          <w:rFonts w:ascii="Arial" w:eastAsia="Avenir Next Regular" w:hAnsi="Arial" w:cs="Arial"/>
          <w:b/>
          <w:kern w:val="1"/>
          <w:sz w:val="20"/>
          <w:szCs w:val="20"/>
        </w:rPr>
      </w:pPr>
      <w:r w:rsidRPr="002B4F39">
        <w:rPr>
          <w:rFonts w:ascii="Arial" w:hAnsi="Arial" w:cs="Arial"/>
          <w:b/>
          <w:iCs/>
          <w:kern w:val="1"/>
          <w:sz w:val="20"/>
          <w:szCs w:val="20"/>
        </w:rPr>
        <w:t>Praha, 25. června 2015 - Obchodní řetězce se dnes chlubí vším českým, ke svým českým dodavatelům se však chovají neeticky. Podle výzkumu nevládní organizace Ekumenická akademie se řetězce na českém trhu těší tak významnému postavení, že si mohou diktovat téměř jakékoli podmínky. Dodavatelé se jim téměř vždy podřídí, někdy i za cenu toho, že své zboží prodávají s minimálním nebo nulovým ziskem. Současné legislativní nastavení navíc dodavatele dostatečně nechrání. Tento trend zásadně ovlivňuje udržitelnost produkce potravin a jejich kvalitu.</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eastAsia="Avenir Next Regular" w:hAnsi="Arial" w:cs="Arial"/>
          <w:kern w:val="1"/>
          <w:sz w:val="20"/>
          <w:szCs w:val="20"/>
        </w:rPr>
      </w:pPr>
      <w:r w:rsidRPr="00983950">
        <w:rPr>
          <w:rFonts w:ascii="Arial" w:hAnsi="Arial" w:cs="Arial"/>
          <w:kern w:val="1"/>
          <w:sz w:val="20"/>
          <w:szCs w:val="20"/>
        </w:rPr>
        <w:t>Z výzkumu Ekumenické akademie vyplývá, že mnohé dodavatelské firmy jsou na řetězcích silně závislé. Prodej prostřednictvím řetězců je zásadní pro to, aby na trhu vůbec přežily. Pro 85 % českých domácností jsou totiž supermarkety hlavním místem nákupu potravin.</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eastAsia="Avenir Next Regular" w:hAnsi="Arial" w:cs="Arial"/>
          <w:kern w:val="1"/>
          <w:sz w:val="20"/>
          <w:szCs w:val="20"/>
        </w:rPr>
      </w:pPr>
      <w:r w:rsidRPr="002B4F39">
        <w:rPr>
          <w:rFonts w:ascii="Arial" w:hAnsi="Arial" w:cs="Arial"/>
          <w:b/>
          <w:kern w:val="1"/>
          <w:sz w:val="20"/>
          <w:szCs w:val="20"/>
        </w:rPr>
        <w:t>Obchodní řetězce ve velké míře využívají nerovného postavení vůči svým dodavatelům.</w:t>
      </w:r>
      <w:r w:rsidRPr="00983950">
        <w:rPr>
          <w:rFonts w:ascii="Arial" w:hAnsi="Arial" w:cs="Arial"/>
          <w:kern w:val="1"/>
          <w:sz w:val="20"/>
          <w:szCs w:val="20"/>
        </w:rPr>
        <w:t xml:space="preserve"> To se projevuje na způsobu vyjednávání smluv, vynucování popla</w:t>
      </w:r>
      <w:bookmarkStart w:id="0" w:name="_GoBack"/>
      <w:r w:rsidRPr="00983950">
        <w:rPr>
          <w:rFonts w:ascii="Arial" w:hAnsi="Arial" w:cs="Arial"/>
          <w:kern w:val="1"/>
          <w:sz w:val="20"/>
          <w:szCs w:val="20"/>
        </w:rPr>
        <w:t>t</w:t>
      </w:r>
      <w:bookmarkEnd w:id="0"/>
      <w:r w:rsidRPr="00983950">
        <w:rPr>
          <w:rFonts w:ascii="Arial" w:hAnsi="Arial" w:cs="Arial"/>
          <w:kern w:val="1"/>
          <w:sz w:val="20"/>
          <w:szCs w:val="20"/>
        </w:rPr>
        <w:t>ků nebo tlakem na nižší ceny. Dodavatelé nemají možnost ovlivnit znění smluv, ty jsou často jednostranně výhodné pouze pro řetězce.</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eastAsia="Avenir Next Regular" w:hAnsi="Arial" w:cs="Arial"/>
          <w:kern w:val="1"/>
          <w:sz w:val="20"/>
          <w:szCs w:val="20"/>
        </w:rPr>
      </w:pPr>
      <w:r w:rsidRPr="00983950">
        <w:rPr>
          <w:rFonts w:ascii="Arial" w:hAnsi="Arial" w:cs="Arial"/>
          <w:kern w:val="1"/>
          <w:sz w:val="20"/>
          <w:szCs w:val="20"/>
        </w:rPr>
        <w:t>Řetězce přenáš</w:t>
      </w:r>
      <w:r w:rsidR="000C3261" w:rsidRPr="00983950">
        <w:rPr>
          <w:rFonts w:ascii="Arial" w:hAnsi="Arial" w:cs="Arial"/>
          <w:kern w:val="1"/>
          <w:sz w:val="20"/>
          <w:szCs w:val="20"/>
        </w:rPr>
        <w:t>ejí</w:t>
      </w:r>
      <w:r w:rsidRPr="00983950">
        <w:rPr>
          <w:rFonts w:ascii="Arial" w:hAnsi="Arial" w:cs="Arial"/>
          <w:kern w:val="1"/>
          <w:sz w:val="20"/>
          <w:szCs w:val="20"/>
        </w:rPr>
        <w:t xml:space="preserve"> na dodavatelské firmy svá obchodní rizika (např. špatné naplánování objemu potravin pro promo akci) a své náklady (marketingový vývoj nových obalů pro</w:t>
      </w:r>
      <w:r w:rsidR="000C3261" w:rsidRPr="00983950">
        <w:rPr>
          <w:rFonts w:ascii="Arial" w:hAnsi="Arial" w:cs="Arial"/>
          <w:kern w:val="1"/>
          <w:sz w:val="20"/>
          <w:szCs w:val="20"/>
        </w:rPr>
        <w:t> </w:t>
      </w:r>
      <w:r w:rsidRPr="00983950">
        <w:rPr>
          <w:rFonts w:ascii="Arial" w:hAnsi="Arial" w:cs="Arial"/>
          <w:kern w:val="1"/>
          <w:sz w:val="20"/>
          <w:szCs w:val="20"/>
        </w:rPr>
        <w:t>privátní značku, stroje na výrobu obalů, propagace výrobků).</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hAnsi="Arial" w:cs="Arial"/>
          <w:kern w:val="1"/>
          <w:sz w:val="20"/>
          <w:szCs w:val="20"/>
        </w:rPr>
      </w:pPr>
      <w:r w:rsidRPr="00983950">
        <w:rPr>
          <w:rFonts w:ascii="Arial" w:hAnsi="Arial" w:cs="Arial"/>
          <w:kern w:val="1"/>
          <w:sz w:val="20"/>
          <w:szCs w:val="20"/>
        </w:rPr>
        <w:t>Supermarkety požadují stále vyšší bonusy, které dodavatelé platí, aniž by věděli, za co jsou, a aniž by jim byla za ně poskytnuta jakákoli protihodnota či benefit. Velkým problémem jsou i vysoké marže obchodních řetězců, které zkreslují představu zákazníků o reálné ceně zboží.</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hAnsi="Arial" w:cs="Arial"/>
          <w:bCs/>
          <w:i/>
          <w:kern w:val="1"/>
          <w:sz w:val="20"/>
          <w:szCs w:val="20"/>
        </w:rPr>
      </w:pPr>
      <w:r w:rsidRPr="00983950">
        <w:rPr>
          <w:rFonts w:ascii="Arial" w:hAnsi="Arial" w:cs="Arial"/>
          <w:bCs/>
          <w:i/>
          <w:kern w:val="1"/>
          <w:sz w:val="20"/>
          <w:szCs w:val="20"/>
        </w:rPr>
        <w:t>„Podle některých výrobců je kvůli tlaku firem nutné sahat i po méně kva</w:t>
      </w:r>
      <w:r w:rsidR="004A148D">
        <w:rPr>
          <w:rFonts w:ascii="Arial" w:hAnsi="Arial" w:cs="Arial"/>
          <w:bCs/>
          <w:i/>
          <w:kern w:val="1"/>
          <w:sz w:val="20"/>
          <w:szCs w:val="20"/>
        </w:rPr>
        <w:t>litních surovinách, především v </w:t>
      </w:r>
      <w:r w:rsidRPr="00983950">
        <w:rPr>
          <w:rFonts w:ascii="Arial" w:hAnsi="Arial" w:cs="Arial"/>
          <w:bCs/>
          <w:i/>
          <w:kern w:val="1"/>
          <w:sz w:val="20"/>
          <w:szCs w:val="20"/>
        </w:rPr>
        <w:t xml:space="preserve">oblasti nebalených a pultových potravin. Na maloobchodním trhu je také stále méně firem, přežijí jen ty velké. V konečném důsledku se tak můžeme kvůli praktikám obchodníků dočkat </w:t>
      </w:r>
      <w:r w:rsidR="004A148D">
        <w:rPr>
          <w:rFonts w:ascii="Arial" w:hAnsi="Arial" w:cs="Arial"/>
          <w:bCs/>
          <w:i/>
          <w:kern w:val="1"/>
          <w:sz w:val="20"/>
          <w:szCs w:val="20"/>
        </w:rPr>
        <w:t>vyšších cen a </w:t>
      </w:r>
      <w:r w:rsidRPr="00983950">
        <w:rPr>
          <w:rFonts w:ascii="Arial" w:hAnsi="Arial" w:cs="Arial"/>
          <w:bCs/>
          <w:i/>
          <w:kern w:val="1"/>
          <w:sz w:val="20"/>
          <w:szCs w:val="20"/>
        </w:rPr>
        <w:t xml:space="preserve">mnohem menší rozmanitosti produktů,“ </w:t>
      </w:r>
      <w:r w:rsidRPr="00983950">
        <w:rPr>
          <w:rFonts w:ascii="Arial" w:hAnsi="Arial" w:cs="Arial"/>
          <w:bCs/>
          <w:kern w:val="1"/>
          <w:sz w:val="20"/>
          <w:szCs w:val="20"/>
        </w:rPr>
        <w:t>komentuje Barbora Mrázková z Ekumenické akademie.</w:t>
      </w:r>
    </w:p>
    <w:p w:rsidR="00C002E5" w:rsidRPr="00BF618D"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hAnsi="Arial" w:cs="Arial"/>
          <w:i/>
          <w:kern w:val="1"/>
          <w:sz w:val="20"/>
          <w:szCs w:val="20"/>
        </w:rPr>
      </w:pPr>
      <w:r w:rsidRPr="00983950">
        <w:rPr>
          <w:rFonts w:ascii="Arial" w:hAnsi="Arial" w:cs="Arial"/>
          <w:kern w:val="1"/>
          <w:sz w:val="20"/>
          <w:szCs w:val="20"/>
        </w:rPr>
        <w:t>Z výzkumu vyplývá, že český maloobchodní trh je velmi nepřátelský</w:t>
      </w:r>
      <w:r w:rsidR="004A148D">
        <w:rPr>
          <w:rFonts w:ascii="Arial" w:hAnsi="Arial" w:cs="Arial"/>
          <w:kern w:val="1"/>
          <w:sz w:val="20"/>
          <w:szCs w:val="20"/>
        </w:rPr>
        <w:t xml:space="preserve"> vůči malým a středním firmám a </w:t>
      </w:r>
      <w:r w:rsidRPr="00983950">
        <w:rPr>
          <w:rFonts w:ascii="Arial" w:hAnsi="Arial" w:cs="Arial"/>
          <w:kern w:val="1"/>
          <w:sz w:val="20"/>
          <w:szCs w:val="20"/>
        </w:rPr>
        <w:t>stále více se koncentruje okolo velkých hráčů. Kvůli nízkým výkupním cenám, ztrátám při neodebrání zboží, bonusům, zpětným platbám či pokutám není mnoho firem schopno generovat žádný zisk, popřípadě svoje zboží dotují.</w:t>
      </w:r>
      <w:r w:rsidR="00C002E5">
        <w:rPr>
          <w:rFonts w:ascii="Arial" w:hAnsi="Arial" w:cs="Arial"/>
          <w:kern w:val="1"/>
          <w:sz w:val="20"/>
          <w:szCs w:val="20"/>
        </w:rPr>
        <w:t xml:space="preserve"> </w:t>
      </w:r>
      <w:r w:rsidR="00C002E5" w:rsidRPr="00BF618D">
        <w:rPr>
          <w:rFonts w:ascii="Arial" w:hAnsi="Arial" w:cs="Arial"/>
          <w:i/>
          <w:kern w:val="1"/>
          <w:sz w:val="20"/>
          <w:szCs w:val="20"/>
        </w:rPr>
        <w:t>„Je potřeba, aby situaci dodavatelů řešila celoevropská pravidla, výrobci potravin by měli mít možnost anonymně si stěžovat a najít zastání. Regulace by se také měla týkat nejen evropských farmářů, ale například i pěstitelů kakaa, kávy nebo exotického ovoce z tz</w:t>
      </w:r>
      <w:r w:rsidR="00C002E5">
        <w:rPr>
          <w:rFonts w:ascii="Arial" w:hAnsi="Arial" w:cs="Arial"/>
          <w:i/>
          <w:kern w:val="1"/>
          <w:sz w:val="20"/>
          <w:szCs w:val="20"/>
        </w:rPr>
        <w:t>v. rozvojových zemí,“</w:t>
      </w:r>
      <w:r w:rsidR="00C002E5" w:rsidRPr="00BF618D">
        <w:rPr>
          <w:rFonts w:ascii="Arial" w:hAnsi="Arial" w:cs="Arial"/>
          <w:kern w:val="1"/>
          <w:sz w:val="20"/>
          <w:szCs w:val="20"/>
        </w:rPr>
        <w:t xml:space="preserve"> říká Barbora Mrázková.</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kern w:val="1"/>
          <w:sz w:val="20"/>
          <w:szCs w:val="20"/>
          <w:u w:val="single"/>
        </w:rPr>
      </w:pPr>
      <w:r w:rsidRPr="00983950">
        <w:rPr>
          <w:rFonts w:ascii="Arial" w:hAnsi="Arial" w:cs="Arial"/>
          <w:b/>
          <w:bCs/>
          <w:kern w:val="1"/>
          <w:sz w:val="20"/>
          <w:szCs w:val="20"/>
          <w:u w:val="single"/>
        </w:rPr>
        <w:t>Kontakty:</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sz w:val="20"/>
          <w:szCs w:val="20"/>
        </w:rPr>
      </w:pPr>
      <w:r w:rsidRPr="00983950">
        <w:rPr>
          <w:rFonts w:ascii="Arial" w:hAnsi="Arial" w:cs="Arial"/>
          <w:kern w:val="1"/>
          <w:sz w:val="20"/>
          <w:szCs w:val="20"/>
        </w:rPr>
        <w:t>B</w:t>
      </w:r>
      <w:r w:rsidR="003B1656">
        <w:rPr>
          <w:rFonts w:ascii="Arial" w:hAnsi="Arial" w:cs="Arial"/>
          <w:kern w:val="1"/>
          <w:sz w:val="20"/>
          <w:szCs w:val="20"/>
        </w:rPr>
        <w:t>arbora Mrázková</w:t>
      </w:r>
    </w:p>
    <w:p w:rsidR="00843F37" w:rsidRPr="00983950" w:rsidRDefault="00D46B4C"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jc w:val="both"/>
        <w:rPr>
          <w:rFonts w:ascii="Arial" w:eastAsia="Avenir Next Demi Bold" w:hAnsi="Arial" w:cs="Arial"/>
          <w:kern w:val="1"/>
          <w:sz w:val="20"/>
          <w:szCs w:val="20"/>
        </w:rPr>
      </w:pPr>
      <w:hyperlink r:id="rId6" w:history="1">
        <w:r w:rsidR="00843F37" w:rsidRPr="00983950">
          <w:rPr>
            <w:rStyle w:val="Hyperlink0"/>
            <w:rFonts w:ascii="Arial" w:hAnsi="Arial" w:cs="Arial"/>
            <w:kern w:val="1"/>
            <w:sz w:val="20"/>
            <w:szCs w:val="20"/>
          </w:rPr>
          <w:t>barbora.mrazkova@ekumakad.cz</w:t>
        </w:r>
      </w:hyperlink>
      <w:r w:rsidR="00843F37" w:rsidRPr="00983950">
        <w:rPr>
          <w:rFonts w:ascii="Arial" w:hAnsi="Arial" w:cs="Arial"/>
          <w:kern w:val="1"/>
          <w:sz w:val="20"/>
          <w:szCs w:val="20"/>
        </w:rPr>
        <w:t>, + 420 777 560 609</w:t>
      </w:r>
    </w:p>
    <w:p w:rsidR="00843F37" w:rsidRPr="00983950" w:rsidRDefault="003B1656"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sz w:val="20"/>
          <w:szCs w:val="20"/>
        </w:rPr>
      </w:pPr>
      <w:r>
        <w:rPr>
          <w:rFonts w:ascii="Arial" w:hAnsi="Arial" w:cs="Arial"/>
          <w:kern w:val="1"/>
          <w:sz w:val="20"/>
          <w:szCs w:val="20"/>
        </w:rPr>
        <w:t>Jan Šturma</w:t>
      </w:r>
    </w:p>
    <w:p w:rsidR="00843F37" w:rsidRPr="00983950" w:rsidRDefault="00D46B4C"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eastAsia="Avenir Next Demi Bold" w:hAnsi="Arial" w:cs="Arial"/>
          <w:b/>
          <w:bCs/>
          <w:kern w:val="1"/>
          <w:sz w:val="20"/>
          <w:szCs w:val="20"/>
        </w:rPr>
      </w:pPr>
      <w:hyperlink r:id="rId7" w:history="1">
        <w:r w:rsidR="003B1656" w:rsidRPr="003B1656">
          <w:rPr>
            <w:rStyle w:val="Hyperlink0"/>
            <w:rFonts w:ascii="Arial" w:hAnsi="Arial" w:cs="Arial"/>
            <w:kern w:val="1"/>
            <w:sz w:val="20"/>
            <w:szCs w:val="20"/>
          </w:rPr>
          <w:t>jan.sturma@ekumakad.cz</w:t>
        </w:r>
      </w:hyperlink>
      <w:r w:rsidR="00843F37" w:rsidRPr="00983950">
        <w:rPr>
          <w:rFonts w:ascii="Arial" w:hAnsi="Arial" w:cs="Arial"/>
          <w:kern w:val="1"/>
          <w:sz w:val="20"/>
          <w:szCs w:val="20"/>
        </w:rPr>
        <w:t xml:space="preserve">, +420 </w:t>
      </w:r>
      <w:r w:rsidR="003B1656">
        <w:rPr>
          <w:rFonts w:ascii="Arial" w:hAnsi="Arial" w:cs="Arial"/>
          <w:kern w:val="1"/>
          <w:sz w:val="20"/>
          <w:szCs w:val="20"/>
        </w:rPr>
        <w:t>605</w:t>
      </w:r>
      <w:r w:rsidR="00843F37" w:rsidRPr="00983950">
        <w:rPr>
          <w:rFonts w:ascii="Arial" w:hAnsi="Arial" w:cs="Arial"/>
          <w:kern w:val="1"/>
          <w:sz w:val="20"/>
          <w:szCs w:val="20"/>
        </w:rPr>
        <w:t xml:space="preserve"> </w:t>
      </w:r>
      <w:r w:rsidR="003B1656">
        <w:rPr>
          <w:rFonts w:ascii="Arial" w:hAnsi="Arial" w:cs="Arial"/>
          <w:kern w:val="1"/>
          <w:sz w:val="20"/>
          <w:szCs w:val="20"/>
        </w:rPr>
        <w:t>296</w:t>
      </w:r>
      <w:r w:rsidR="00843F37" w:rsidRPr="00983950">
        <w:rPr>
          <w:rFonts w:ascii="Arial" w:hAnsi="Arial" w:cs="Arial"/>
          <w:kern w:val="1"/>
          <w:sz w:val="20"/>
          <w:szCs w:val="20"/>
        </w:rPr>
        <w:t> </w:t>
      </w:r>
      <w:r w:rsidR="003B1656">
        <w:rPr>
          <w:rFonts w:ascii="Arial" w:hAnsi="Arial" w:cs="Arial"/>
          <w:kern w:val="1"/>
          <w:sz w:val="20"/>
          <w:szCs w:val="20"/>
        </w:rPr>
        <w:t>213</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jc w:val="both"/>
        <w:rPr>
          <w:rFonts w:ascii="Arial" w:hAnsi="Arial" w:cs="Arial"/>
          <w:b/>
          <w:bCs/>
          <w:kern w:val="1"/>
          <w:sz w:val="24"/>
          <w:szCs w:val="24"/>
          <w:u w:val="single"/>
        </w:rPr>
      </w:pPr>
      <w:r w:rsidRPr="00983950">
        <w:rPr>
          <w:rFonts w:ascii="Arial" w:hAnsi="Arial" w:cs="Arial"/>
          <w:b/>
          <w:bCs/>
          <w:kern w:val="1"/>
          <w:sz w:val="24"/>
          <w:szCs w:val="24"/>
          <w:u w:val="single"/>
        </w:rPr>
        <w:br w:type="page"/>
      </w:r>
      <w:r w:rsidRPr="00983950">
        <w:rPr>
          <w:rFonts w:ascii="Arial" w:hAnsi="Arial" w:cs="Arial"/>
          <w:b/>
          <w:bCs/>
          <w:kern w:val="1"/>
          <w:sz w:val="24"/>
          <w:szCs w:val="24"/>
          <w:u w:val="single"/>
        </w:rPr>
        <w:lastRenderedPageBreak/>
        <w:t>Další informace:</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rPr>
          <w:rFonts w:ascii="Arial" w:eastAsia="Avenir Next Regular" w:hAnsi="Arial" w:cs="Arial"/>
          <w:b/>
          <w:bCs/>
          <w:kern w:val="1"/>
        </w:rPr>
      </w:pPr>
      <w:r w:rsidRPr="00983950">
        <w:rPr>
          <w:rFonts w:ascii="Arial" w:hAnsi="Arial" w:cs="Arial"/>
          <w:b/>
          <w:bCs/>
          <w:kern w:val="1"/>
        </w:rPr>
        <w:t>O výzkumu:</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jc w:val="both"/>
        <w:rPr>
          <w:rFonts w:ascii="Arial" w:hAnsi="Arial" w:cs="Arial"/>
          <w:kern w:val="1"/>
          <w:sz w:val="20"/>
          <w:szCs w:val="20"/>
        </w:rPr>
      </w:pPr>
      <w:r w:rsidRPr="00983950">
        <w:rPr>
          <w:rFonts w:ascii="Arial" w:hAnsi="Arial" w:cs="Arial"/>
          <w:kern w:val="1"/>
          <w:sz w:val="20"/>
          <w:szCs w:val="20"/>
        </w:rPr>
        <w:t>Nevládní organizace Ekumenická akademie ve svém unikátním výzkumu zjišťovala, jak se obchodní řetězce chovají ke svým dodavatelům, a jak toto chování ovlivňuje udržitelnost produkce potravin.</w:t>
      </w:r>
    </w:p>
    <w:p w:rsidR="00843F37"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jc w:val="both"/>
        <w:rPr>
          <w:rFonts w:ascii="Arial" w:hAnsi="Arial" w:cs="Arial"/>
          <w:kern w:val="1"/>
          <w:sz w:val="20"/>
          <w:szCs w:val="20"/>
        </w:rPr>
      </w:pPr>
      <w:r w:rsidRPr="00983950">
        <w:rPr>
          <w:rFonts w:ascii="Arial" w:hAnsi="Arial" w:cs="Arial"/>
          <w:kern w:val="1"/>
          <w:sz w:val="20"/>
          <w:szCs w:val="20"/>
        </w:rPr>
        <w:t xml:space="preserve">Výzkum je v Evropě ojedinělý, protože většina podobných snah spotřebitelských organizací ztroskotala na strachu dodavatelských firem promluvit o neférových praktikách. Ekumenické akademii se podařilo se překonat tzv. </w:t>
      </w:r>
      <w:r w:rsidRPr="00983950">
        <w:rPr>
          <w:rFonts w:ascii="Arial" w:hAnsi="Arial" w:cs="Arial"/>
          <w:b/>
          <w:bCs/>
          <w:kern w:val="1"/>
          <w:sz w:val="20"/>
          <w:szCs w:val="20"/>
        </w:rPr>
        <w:t>klima strachu</w:t>
      </w:r>
      <w:r w:rsidRPr="00983950">
        <w:rPr>
          <w:rFonts w:ascii="Arial" w:hAnsi="Arial" w:cs="Arial"/>
          <w:kern w:val="1"/>
          <w:sz w:val="20"/>
          <w:szCs w:val="20"/>
        </w:rPr>
        <w:t xml:space="preserve"> (</w:t>
      </w:r>
      <w:r w:rsidRPr="002B4F39">
        <w:rPr>
          <w:rFonts w:ascii="Arial" w:hAnsi="Arial" w:cs="Arial"/>
          <w:i/>
          <w:iCs/>
          <w:kern w:val="1"/>
          <w:sz w:val="20"/>
          <w:szCs w:val="20"/>
        </w:rPr>
        <w:t>climate of fear</w:t>
      </w:r>
      <w:r w:rsidRPr="00983950">
        <w:rPr>
          <w:rFonts w:ascii="Arial" w:hAnsi="Arial" w:cs="Arial"/>
          <w:kern w:val="1"/>
          <w:sz w:val="20"/>
          <w:szCs w:val="20"/>
        </w:rPr>
        <w:t xml:space="preserve">) panující mezi dodavateli. </w:t>
      </w:r>
      <w:r w:rsidRPr="00983950">
        <w:rPr>
          <w:rFonts w:ascii="Arial" w:hAnsi="Arial" w:cs="Arial"/>
          <w:i/>
          <w:iCs/>
          <w:kern w:val="1"/>
          <w:sz w:val="20"/>
          <w:szCs w:val="20"/>
        </w:rPr>
        <w:t>“Pro drtivou většinu byl obrovský risk se s námi setkat a neustále opakovali, že se potkávají jen díky slíbené anonymitě. Informace sdílené s námi pro ně mají existenciální charakter. Mnozí, ačkoliv velice silně cítili potřebu se potkat a promluvit o nekalých praktikách, nakonec setkání odřekli - jednoduše se báli,”</w:t>
      </w:r>
      <w:r w:rsidRPr="00983950">
        <w:rPr>
          <w:rFonts w:ascii="Arial" w:hAnsi="Arial" w:cs="Arial"/>
          <w:kern w:val="1"/>
          <w:sz w:val="20"/>
          <w:szCs w:val="20"/>
        </w:rPr>
        <w:t xml:space="preserve"> uvádí Tomáš Uhnák z Ekumenické akademie.</w:t>
      </w:r>
    </w:p>
    <w:p w:rsidR="00843F37" w:rsidRPr="00983950" w:rsidRDefault="00843F37" w:rsidP="007D50F0">
      <w:pPr>
        <w:pStyle w:val="WW-Vchoz"/>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50"/>
        <w:jc w:val="both"/>
        <w:rPr>
          <w:rFonts w:ascii="Arial" w:hAnsi="Arial" w:cs="Arial"/>
          <w:kern w:val="1"/>
          <w:sz w:val="20"/>
          <w:szCs w:val="20"/>
        </w:rPr>
      </w:pPr>
      <w:r w:rsidRPr="00983950">
        <w:rPr>
          <w:rFonts w:ascii="Arial" w:hAnsi="Arial" w:cs="Arial"/>
          <w:kern w:val="1"/>
          <w:sz w:val="20"/>
          <w:szCs w:val="20"/>
        </w:rPr>
        <w:t xml:space="preserve">Výzkum </w:t>
      </w:r>
      <w:r w:rsidRPr="00983950">
        <w:rPr>
          <w:rFonts w:ascii="Arial" w:hAnsi="Arial" w:cs="Arial"/>
          <w:b/>
          <w:bCs/>
          <w:kern w:val="1"/>
          <w:sz w:val="20"/>
          <w:szCs w:val="20"/>
        </w:rPr>
        <w:t>vychází metodologicky</w:t>
      </w:r>
      <w:r w:rsidRPr="00983950">
        <w:rPr>
          <w:rFonts w:ascii="Arial" w:hAnsi="Arial" w:cs="Arial"/>
          <w:kern w:val="1"/>
          <w:sz w:val="20"/>
          <w:szCs w:val="20"/>
        </w:rPr>
        <w:t xml:space="preserve"> ze studií mezinárodního svazu </w:t>
      </w:r>
      <w:r w:rsidRPr="00C83F6F">
        <w:rPr>
          <w:rFonts w:ascii="Arial" w:hAnsi="Arial" w:cs="Arial"/>
          <w:kern w:val="1"/>
          <w:sz w:val="20"/>
          <w:szCs w:val="20"/>
          <w:lang w:val="en-GB"/>
        </w:rPr>
        <w:t>Consumers International</w:t>
      </w:r>
      <w:r w:rsidRPr="00983950">
        <w:rPr>
          <w:rFonts w:ascii="Arial" w:hAnsi="Arial" w:cs="Arial"/>
          <w:kern w:val="1"/>
          <w:sz w:val="20"/>
          <w:szCs w:val="20"/>
        </w:rPr>
        <w:t xml:space="preserve"> (sdružuje 240 spotřebitelských organizací ze 120 zemí) a nizozemské organizace </w:t>
      </w:r>
      <w:r w:rsidRPr="00C83F6F">
        <w:rPr>
          <w:rFonts w:ascii="Arial" w:hAnsi="Arial" w:cs="Arial"/>
          <w:kern w:val="1"/>
          <w:sz w:val="20"/>
          <w:szCs w:val="20"/>
          <w:lang w:val="en-GB"/>
        </w:rPr>
        <w:t>SOMO -  Centre for Research on Multinational Corporations</w:t>
      </w:r>
      <w:r w:rsidRPr="00983950">
        <w:rPr>
          <w:rFonts w:ascii="Arial" w:hAnsi="Arial" w:cs="Arial"/>
          <w:kern w:val="1"/>
          <w:sz w:val="20"/>
          <w:szCs w:val="20"/>
        </w:rPr>
        <w:t>.</w:t>
      </w:r>
    </w:p>
    <w:p w:rsidR="00843F37" w:rsidRPr="00983950" w:rsidRDefault="00843F37" w:rsidP="007D50F0">
      <w:pPr>
        <w:pStyle w:val="WW-Vchoz"/>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50"/>
        <w:jc w:val="both"/>
        <w:rPr>
          <w:rFonts w:ascii="Arial" w:hAnsi="Arial" w:cs="Arial"/>
          <w:i/>
          <w:iCs/>
          <w:kern w:val="1"/>
          <w:sz w:val="20"/>
          <w:szCs w:val="20"/>
        </w:rPr>
      </w:pPr>
      <w:r w:rsidRPr="00983950">
        <w:rPr>
          <w:rFonts w:ascii="Arial" w:hAnsi="Arial" w:cs="Arial"/>
          <w:kern w:val="1"/>
          <w:sz w:val="20"/>
          <w:szCs w:val="20"/>
        </w:rPr>
        <w:t>Během výzkumu bylo osloveno na 230 firem, z nichž více než 30 souhlasilo s hloubkovým rozhovorem s podmínkou zachování naprosté anonymity.</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jc w:val="both"/>
        <w:rPr>
          <w:rFonts w:ascii="Arial" w:eastAsia="Avenir Next Demi Bold" w:hAnsi="Arial" w:cs="Arial"/>
          <w:kern w:val="1"/>
          <w:sz w:val="20"/>
          <w:szCs w:val="20"/>
        </w:rPr>
      </w:pPr>
      <w:r w:rsidRPr="00983950">
        <w:rPr>
          <w:rFonts w:ascii="Arial" w:hAnsi="Arial" w:cs="Arial"/>
          <w:iCs/>
          <w:kern w:val="1"/>
          <w:sz w:val="20"/>
          <w:szCs w:val="20"/>
        </w:rPr>
        <w:t xml:space="preserve">S </w:t>
      </w:r>
      <w:r w:rsidRPr="00983950">
        <w:rPr>
          <w:rFonts w:ascii="Arial" w:hAnsi="Arial" w:cs="Arial"/>
          <w:kern w:val="1"/>
          <w:sz w:val="20"/>
          <w:szCs w:val="20"/>
        </w:rPr>
        <w:t>prosbou o vyplnění dotazníku byly osloveny i obchodní řetězce, na výzkumu se rozhodl aktivně participovat jediný.</w:t>
      </w:r>
    </w:p>
    <w:p w:rsidR="00843F37" w:rsidRPr="00983950" w:rsidRDefault="00843F37" w:rsidP="007D50F0">
      <w:pPr>
        <w:pStyle w:val="WW-Vchoz"/>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50"/>
        <w:jc w:val="both"/>
        <w:rPr>
          <w:rFonts w:ascii="Arial" w:eastAsia="Avenir Next Demi Bold" w:hAnsi="Arial" w:cs="Arial"/>
          <w:kern w:val="1"/>
          <w:sz w:val="20"/>
          <w:szCs w:val="20"/>
        </w:rPr>
      </w:pPr>
      <w:r w:rsidRPr="00983950">
        <w:rPr>
          <w:rFonts w:ascii="Arial" w:hAnsi="Arial" w:cs="Arial"/>
          <w:kern w:val="1"/>
          <w:sz w:val="20"/>
          <w:szCs w:val="20"/>
        </w:rPr>
        <w:t xml:space="preserve">Výzkum </w:t>
      </w:r>
      <w:proofErr w:type="gramStart"/>
      <w:r w:rsidRPr="00983950">
        <w:rPr>
          <w:rFonts w:ascii="Arial" w:hAnsi="Arial" w:cs="Arial"/>
          <w:kern w:val="1"/>
          <w:sz w:val="20"/>
          <w:szCs w:val="20"/>
        </w:rPr>
        <w:t>proběhl</w:t>
      </w:r>
      <w:proofErr w:type="gramEnd"/>
      <w:r w:rsidRPr="00983950">
        <w:rPr>
          <w:rFonts w:ascii="Arial" w:hAnsi="Arial" w:cs="Arial"/>
          <w:kern w:val="1"/>
          <w:sz w:val="20"/>
          <w:szCs w:val="20"/>
        </w:rPr>
        <w:t xml:space="preserve"> v rámci kampaně </w:t>
      </w:r>
      <w:proofErr w:type="gramStart"/>
      <w:r w:rsidRPr="00983950">
        <w:rPr>
          <w:rFonts w:ascii="Arial" w:hAnsi="Arial" w:cs="Arial"/>
          <w:kern w:val="1"/>
          <w:sz w:val="20"/>
          <w:szCs w:val="20"/>
        </w:rPr>
        <w:t>Volím</w:t>
      </w:r>
      <w:proofErr w:type="gramEnd"/>
      <w:r w:rsidRPr="00983950">
        <w:rPr>
          <w:rFonts w:ascii="Arial" w:hAnsi="Arial" w:cs="Arial"/>
          <w:kern w:val="1"/>
          <w:sz w:val="20"/>
          <w:szCs w:val="20"/>
        </w:rPr>
        <w:t xml:space="preserve"> </w:t>
      </w:r>
      <w:r w:rsidRPr="002B4F39">
        <w:rPr>
          <w:rFonts w:ascii="Arial" w:hAnsi="Arial" w:cs="Arial"/>
          <w:kern w:val="1"/>
          <w:sz w:val="20"/>
          <w:szCs w:val="20"/>
        </w:rPr>
        <w:t>fair trade</w:t>
      </w:r>
      <w:r w:rsidRPr="00983950">
        <w:rPr>
          <w:rFonts w:ascii="Arial" w:hAnsi="Arial" w:cs="Arial"/>
          <w:kern w:val="1"/>
          <w:sz w:val="20"/>
          <w:szCs w:val="20"/>
        </w:rPr>
        <w:t xml:space="preserve"> (</w:t>
      </w:r>
      <w:hyperlink r:id="rId8" w:history="1">
        <w:r w:rsidRPr="00983950">
          <w:rPr>
            <w:rStyle w:val="Hyperlink0"/>
            <w:rFonts w:ascii="Arial" w:hAnsi="Arial" w:cs="Arial"/>
            <w:kern w:val="1"/>
            <w:sz w:val="20"/>
            <w:szCs w:val="20"/>
          </w:rPr>
          <w:t>www.volimfairtrade.cz</w:t>
        </w:r>
      </w:hyperlink>
      <w:r w:rsidR="004A148D">
        <w:rPr>
          <w:rFonts w:ascii="Arial" w:hAnsi="Arial" w:cs="Arial"/>
          <w:kern w:val="1"/>
          <w:sz w:val="20"/>
          <w:szCs w:val="20"/>
        </w:rPr>
        <w:t>) a projektu Devět miliard u </w:t>
      </w:r>
      <w:r w:rsidRPr="00983950">
        <w:rPr>
          <w:rFonts w:ascii="Arial" w:hAnsi="Arial" w:cs="Arial"/>
          <w:kern w:val="1"/>
          <w:sz w:val="20"/>
          <w:szCs w:val="20"/>
        </w:rPr>
        <w:t>jednoho stolu.</w:t>
      </w:r>
    </w:p>
    <w:p w:rsidR="00843F37"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hAnsi="Arial" w:cs="Arial"/>
          <w:kern w:val="1"/>
          <w:sz w:val="20"/>
          <w:szCs w:val="20"/>
        </w:rPr>
      </w:pPr>
      <w:r w:rsidRPr="00983950">
        <w:rPr>
          <w:rFonts w:ascii="Arial" w:hAnsi="Arial" w:cs="Arial"/>
          <w:kern w:val="1"/>
          <w:sz w:val="20"/>
          <w:szCs w:val="20"/>
        </w:rPr>
        <w:t xml:space="preserve">Koalice 19 organizací z Evropy, Ekvádoru, Kolumbie a Návětrných ostrovů spustila </w:t>
      </w:r>
      <w:proofErr w:type="gramStart"/>
      <w:r w:rsidRPr="00983950">
        <w:rPr>
          <w:rFonts w:ascii="Arial" w:hAnsi="Arial" w:cs="Arial"/>
          <w:kern w:val="1"/>
          <w:sz w:val="20"/>
          <w:szCs w:val="20"/>
        </w:rPr>
        <w:t>16.6.2015</w:t>
      </w:r>
      <w:proofErr w:type="gramEnd"/>
      <w:r w:rsidRPr="00983950">
        <w:rPr>
          <w:rFonts w:ascii="Arial" w:hAnsi="Arial" w:cs="Arial"/>
          <w:kern w:val="1"/>
          <w:sz w:val="20"/>
          <w:szCs w:val="20"/>
        </w:rPr>
        <w:t xml:space="preserve"> petici požadující regulaci neférových obchodních praktik na evropské úrovni. Ta by měla vyjít z principů fungujících ve Velké Británii a vztahovat se i na mimoevropské dodavatele. V roce 2013 podpořilo obdobnou petici 40 000 evropských spotřebitelů.</w:t>
      </w:r>
    </w:p>
    <w:p w:rsidR="000C3261" w:rsidRPr="00983950" w:rsidRDefault="000C3261"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rPr>
          <w:rFonts w:ascii="Arial" w:hAnsi="Arial" w:cs="Arial"/>
          <w:b/>
          <w:bCs/>
          <w:kern w:val="1"/>
        </w:rPr>
      </w:pPr>
      <w:r w:rsidRPr="00983950">
        <w:rPr>
          <w:rFonts w:ascii="Arial" w:hAnsi="Arial" w:cs="Arial"/>
          <w:b/>
          <w:bCs/>
          <w:kern w:val="1"/>
        </w:rPr>
        <w:t>O Ekumenické akademii:</w:t>
      </w:r>
    </w:p>
    <w:p w:rsidR="000C3261" w:rsidRPr="002B4F39" w:rsidRDefault="000C3261" w:rsidP="007D50F0">
      <w:pPr>
        <w:spacing w:afterLines="100"/>
        <w:jc w:val="both"/>
        <w:rPr>
          <w:rFonts w:ascii="Arial" w:hAnsi="Arial" w:cs="Arial"/>
          <w:sz w:val="20"/>
          <w:szCs w:val="20"/>
          <w:lang w:val="cs-CZ"/>
        </w:rPr>
      </w:pPr>
      <w:r w:rsidRPr="00983950">
        <w:rPr>
          <w:rFonts w:ascii="Arial" w:eastAsia="Arial Unicode MS" w:hAnsi="Arial" w:cs="Arial"/>
          <w:color w:val="000000"/>
          <w:kern w:val="1"/>
          <w:sz w:val="20"/>
          <w:szCs w:val="20"/>
          <w:lang w:val="cs-CZ"/>
        </w:rPr>
        <w:t xml:space="preserve">Ekumenická akademie (EA) je nevládní nezisková organizace, která se zabývá vzděláváním dospělých a mládeže, organizováním kampaní a podporou </w:t>
      </w:r>
      <w:r w:rsidRPr="002B4F39">
        <w:rPr>
          <w:rFonts w:ascii="Arial" w:eastAsia="Arial Unicode MS" w:hAnsi="Arial" w:cs="Arial"/>
          <w:color w:val="000000"/>
          <w:kern w:val="1"/>
          <w:sz w:val="20"/>
          <w:szCs w:val="20"/>
          <w:lang w:val="cs-CZ"/>
        </w:rPr>
        <w:t>fair trade</w:t>
      </w:r>
      <w:r w:rsidRPr="00983950">
        <w:rPr>
          <w:rFonts w:ascii="Arial" w:eastAsia="Arial Unicode MS" w:hAnsi="Arial" w:cs="Arial"/>
          <w:color w:val="000000"/>
          <w:kern w:val="1"/>
          <w:sz w:val="20"/>
          <w:szCs w:val="20"/>
          <w:lang w:val="cs-CZ"/>
        </w:rPr>
        <w:t>.</w:t>
      </w:r>
      <w:hyperlink r:id="rId9" w:history="1">
        <w:r w:rsidRPr="00983950">
          <w:rPr>
            <w:rFonts w:ascii="Arial" w:eastAsia="Arial Unicode MS" w:hAnsi="Arial" w:cs="Arial"/>
            <w:color w:val="000000"/>
            <w:kern w:val="1"/>
            <w:sz w:val="20"/>
            <w:szCs w:val="20"/>
            <w:lang w:val="cs-CZ"/>
          </w:rPr>
          <w:t xml:space="preserve"> </w:t>
        </w:r>
        <w:r w:rsidRPr="00983950">
          <w:rPr>
            <w:rStyle w:val="Hyperlink0"/>
            <w:rFonts w:ascii="Arial" w:hAnsi="Arial" w:cs="Arial"/>
            <w:sz w:val="20"/>
            <w:szCs w:val="20"/>
            <w:lang w:val="cs-CZ"/>
          </w:rPr>
          <w:t>www.ekumakad.cz</w:t>
        </w:r>
      </w:hyperlink>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50"/>
        <w:rPr>
          <w:rFonts w:ascii="Arial" w:hAnsi="Arial" w:cs="Arial"/>
          <w:b/>
          <w:bCs/>
          <w:kern w:val="1"/>
        </w:rPr>
      </w:pPr>
      <w:r w:rsidRPr="00983950">
        <w:rPr>
          <w:rFonts w:ascii="Arial" w:hAnsi="Arial" w:cs="Arial"/>
          <w:b/>
          <w:bCs/>
          <w:kern w:val="1"/>
        </w:rPr>
        <w:t>Některé z citací dodavatelských firem:</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i/>
          <w:iCs/>
          <w:kern w:val="1"/>
          <w:sz w:val="20"/>
          <w:szCs w:val="20"/>
        </w:rPr>
      </w:pPr>
      <w:r w:rsidRPr="00983950">
        <w:rPr>
          <w:rFonts w:ascii="Arial" w:hAnsi="Arial" w:cs="Arial"/>
          <w:b/>
          <w:bCs/>
          <w:i/>
          <w:iCs/>
          <w:kern w:val="1"/>
          <w:sz w:val="20"/>
          <w:szCs w:val="20"/>
        </w:rPr>
        <w:t>Vyjednávání smluv:</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eastAsia="Avenir Next Regular" w:hAnsi="Arial" w:cs="Arial"/>
          <w:kern w:val="1"/>
          <w:sz w:val="20"/>
          <w:szCs w:val="20"/>
        </w:rPr>
      </w:pPr>
      <w:r w:rsidRPr="00983950">
        <w:rPr>
          <w:rFonts w:ascii="Arial" w:hAnsi="Arial" w:cs="Arial"/>
          <w:i/>
          <w:iCs/>
          <w:kern w:val="1"/>
          <w:sz w:val="20"/>
          <w:szCs w:val="20"/>
        </w:rPr>
        <w:t>„Smlouvu nevidíte do té doby, než si vás tam pozvou. Nesmíte si ji vzít s sebou. Nesmíte opustit ty jejich místnosti, ve kterých sedíte</w:t>
      </w:r>
      <w:r w:rsidR="000C3261" w:rsidRPr="00983950">
        <w:rPr>
          <w:rFonts w:ascii="Arial" w:hAnsi="Arial" w:cs="Arial"/>
          <w:i/>
          <w:iCs/>
          <w:kern w:val="1"/>
          <w:sz w:val="20"/>
          <w:szCs w:val="20"/>
        </w:rPr>
        <w:t>,</w:t>
      </w:r>
      <w:r w:rsidRPr="00983950">
        <w:rPr>
          <w:rFonts w:ascii="Arial" w:hAnsi="Arial" w:cs="Arial"/>
          <w:i/>
          <w:iCs/>
          <w:kern w:val="1"/>
          <w:sz w:val="20"/>
          <w:szCs w:val="20"/>
        </w:rPr>
        <w:t xml:space="preserve"> a buď to podepíšete, nebo ne. (…</w:t>
      </w:r>
      <w:r w:rsidR="004A148D">
        <w:rPr>
          <w:rFonts w:ascii="Arial" w:hAnsi="Arial" w:cs="Arial"/>
          <w:i/>
          <w:iCs/>
          <w:kern w:val="1"/>
          <w:sz w:val="20"/>
          <w:szCs w:val="20"/>
        </w:rPr>
        <w:t>) V momentě, kdy nesouhlasíte s </w:t>
      </w:r>
      <w:r w:rsidRPr="00983950">
        <w:rPr>
          <w:rFonts w:ascii="Arial" w:hAnsi="Arial" w:cs="Arial"/>
          <w:i/>
          <w:iCs/>
          <w:kern w:val="1"/>
          <w:sz w:val="20"/>
          <w:szCs w:val="20"/>
        </w:rPr>
        <w:t>jejich smlouvou, tak nedodáváte.“</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b/>
          <w:bCs/>
          <w:i/>
          <w:iCs/>
          <w:kern w:val="1"/>
          <w:sz w:val="20"/>
          <w:szCs w:val="20"/>
        </w:rPr>
      </w:pPr>
      <w:r w:rsidRPr="00983950">
        <w:rPr>
          <w:rFonts w:ascii="Arial" w:hAnsi="Arial" w:cs="Arial"/>
          <w:b/>
          <w:bCs/>
          <w:i/>
          <w:iCs/>
          <w:kern w:val="1"/>
          <w:sz w:val="20"/>
          <w:szCs w:val="20"/>
        </w:rPr>
        <w:t>Vynucené poplatky</w:t>
      </w:r>
      <w:r w:rsidR="00E9493A" w:rsidRPr="00983950">
        <w:rPr>
          <w:rFonts w:ascii="Arial" w:hAnsi="Arial" w:cs="Arial"/>
          <w:b/>
          <w:bCs/>
          <w:i/>
          <w:iCs/>
          <w:kern w:val="1"/>
          <w:sz w:val="20"/>
          <w:szCs w:val="20"/>
        </w:rPr>
        <w:t>:</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eastAsia="Avenir Next Regular" w:hAnsi="Arial" w:cs="Arial"/>
          <w:kern w:val="1"/>
          <w:sz w:val="20"/>
          <w:szCs w:val="20"/>
        </w:rPr>
      </w:pPr>
      <w:r w:rsidRPr="00983950">
        <w:rPr>
          <w:rFonts w:ascii="Arial" w:hAnsi="Arial" w:cs="Arial"/>
          <w:i/>
          <w:iCs/>
          <w:kern w:val="1"/>
          <w:sz w:val="20"/>
          <w:szCs w:val="20"/>
        </w:rPr>
        <w:t>„V podstatě si to vynutí. Pokud oni chtějí, pak si placení inzerce vynutí. Aniž bychom my chtěli.”</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i/>
          <w:iCs/>
          <w:kern w:val="1"/>
          <w:sz w:val="20"/>
          <w:szCs w:val="20"/>
        </w:rPr>
      </w:pPr>
      <w:r w:rsidRPr="00983950">
        <w:rPr>
          <w:rFonts w:ascii="Arial" w:hAnsi="Arial" w:cs="Arial"/>
          <w:b/>
          <w:bCs/>
          <w:i/>
          <w:iCs/>
          <w:kern w:val="1"/>
          <w:sz w:val="20"/>
          <w:szCs w:val="20"/>
        </w:rPr>
        <w:t>Akce:</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eastAsia="Avenir Next Demi Bold" w:hAnsi="Arial" w:cs="Arial"/>
          <w:kern w:val="1"/>
          <w:sz w:val="20"/>
          <w:szCs w:val="20"/>
        </w:rPr>
      </w:pPr>
      <w:r w:rsidRPr="00983950">
        <w:rPr>
          <w:rFonts w:ascii="Arial" w:hAnsi="Arial" w:cs="Arial"/>
          <w:i/>
          <w:iCs/>
          <w:kern w:val="1"/>
          <w:sz w:val="20"/>
          <w:szCs w:val="20"/>
        </w:rPr>
        <w:t>“Akce většinou pro dodavatele zajímavé nejsou. A konec konců ani pro ten řetězec. Všichni to uděláme zhruba na nulu.”</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i/>
          <w:iCs/>
          <w:kern w:val="1"/>
          <w:sz w:val="20"/>
          <w:szCs w:val="20"/>
        </w:rPr>
      </w:pPr>
      <w:r w:rsidRPr="00983950">
        <w:rPr>
          <w:rFonts w:ascii="Arial" w:hAnsi="Arial" w:cs="Arial"/>
          <w:b/>
          <w:bCs/>
          <w:i/>
          <w:iCs/>
          <w:kern w:val="1"/>
          <w:sz w:val="20"/>
          <w:szCs w:val="20"/>
        </w:rPr>
        <w:t>Nestabilita:</w:t>
      </w:r>
    </w:p>
    <w:p w:rsidR="00843F37" w:rsidRPr="00983950" w:rsidRDefault="00843F37" w:rsidP="007D50F0">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100"/>
        <w:jc w:val="both"/>
        <w:rPr>
          <w:rFonts w:ascii="Arial" w:eastAsia="Avenir Next Demi Bold" w:hAnsi="Arial" w:cs="Arial"/>
          <w:kern w:val="1"/>
          <w:sz w:val="20"/>
          <w:szCs w:val="20"/>
        </w:rPr>
      </w:pPr>
      <w:r w:rsidRPr="00983950">
        <w:rPr>
          <w:rFonts w:ascii="Arial" w:hAnsi="Arial" w:cs="Arial"/>
          <w:i/>
          <w:iCs/>
          <w:kern w:val="1"/>
          <w:sz w:val="20"/>
          <w:szCs w:val="20"/>
        </w:rPr>
        <w:t>“Problematické je, že v průběhu akce výrazně změní odhadované množství a pak to případně penalizují nebo mi to případně zbyde na skladě a já pak nemám kam t</w:t>
      </w:r>
      <w:r w:rsidR="004A148D">
        <w:rPr>
          <w:rFonts w:ascii="Arial" w:hAnsi="Arial" w:cs="Arial"/>
          <w:i/>
          <w:iCs/>
          <w:kern w:val="1"/>
          <w:sz w:val="20"/>
          <w:szCs w:val="20"/>
        </w:rPr>
        <w:t xml:space="preserve">o prodat. To je velký problém </w:t>
      </w:r>
      <w:r w:rsidR="004A148D">
        <w:rPr>
          <w:rFonts w:ascii="Arial" w:hAnsi="Arial" w:cs="Arial"/>
          <w:i/>
          <w:iCs/>
          <w:kern w:val="1"/>
          <w:sz w:val="20"/>
          <w:szCs w:val="20"/>
        </w:rPr>
        <w:lastRenderedPageBreak/>
        <w:t>u </w:t>
      </w:r>
      <w:r w:rsidRPr="00983950">
        <w:rPr>
          <w:rFonts w:ascii="Arial" w:hAnsi="Arial" w:cs="Arial"/>
          <w:i/>
          <w:iCs/>
          <w:kern w:val="1"/>
          <w:sz w:val="20"/>
          <w:szCs w:val="20"/>
        </w:rPr>
        <w:t>privátních značek.“</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i/>
          <w:iCs/>
          <w:kern w:val="1"/>
          <w:sz w:val="20"/>
          <w:szCs w:val="20"/>
        </w:rPr>
      </w:pPr>
      <w:r w:rsidRPr="00983950">
        <w:rPr>
          <w:rFonts w:ascii="Arial" w:hAnsi="Arial" w:cs="Arial"/>
          <w:b/>
          <w:bCs/>
          <w:i/>
          <w:iCs/>
          <w:kern w:val="1"/>
          <w:sz w:val="20"/>
          <w:szCs w:val="20"/>
        </w:rPr>
        <w:t>Přenášení nákladů:</w:t>
      </w:r>
    </w:p>
    <w:p w:rsidR="00843F37" w:rsidRPr="00983950" w:rsidRDefault="00843F37" w:rsidP="007D50F0">
      <w:pPr>
        <w:pStyle w:val="WW-Vchoz"/>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100"/>
        <w:jc w:val="both"/>
        <w:rPr>
          <w:rFonts w:ascii="Arial" w:eastAsia="Avenir Next Demi Bold" w:hAnsi="Arial" w:cs="Arial"/>
          <w:i/>
          <w:iCs/>
          <w:kern w:val="1"/>
          <w:sz w:val="20"/>
          <w:szCs w:val="20"/>
        </w:rPr>
      </w:pPr>
      <w:r w:rsidRPr="00983950">
        <w:rPr>
          <w:rFonts w:ascii="Arial" w:hAnsi="Arial" w:cs="Arial"/>
          <w:i/>
          <w:iCs/>
          <w:kern w:val="1"/>
          <w:sz w:val="20"/>
          <w:szCs w:val="20"/>
        </w:rPr>
        <w:t>„Bývají požadavky typu „zaplaťte design na privátní značku“ a přitom řízení designového studia není možnost ovlivnit z naší strany. Dost často býváme žádáni o to, abychom platili náklady, nad </w:t>
      </w:r>
      <w:proofErr w:type="gramStart"/>
      <w:r w:rsidRPr="00983950">
        <w:rPr>
          <w:rFonts w:ascii="Arial" w:hAnsi="Arial" w:cs="Arial"/>
          <w:i/>
          <w:iCs/>
          <w:kern w:val="1"/>
          <w:sz w:val="20"/>
          <w:szCs w:val="20"/>
        </w:rPr>
        <w:t>kterýma</w:t>
      </w:r>
      <w:proofErr w:type="gramEnd"/>
      <w:r w:rsidRPr="00983950">
        <w:rPr>
          <w:rFonts w:ascii="Arial" w:hAnsi="Arial" w:cs="Arial"/>
          <w:i/>
          <w:iCs/>
          <w:kern w:val="1"/>
          <w:sz w:val="20"/>
          <w:szCs w:val="20"/>
        </w:rPr>
        <w:t xml:space="preserve"> nemáme žádnou kontrolu.“</w:t>
      </w:r>
    </w:p>
    <w:p w:rsidR="00843F37" w:rsidRPr="00983950" w:rsidRDefault="00843F37"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i/>
          <w:iCs/>
          <w:kern w:val="1"/>
          <w:sz w:val="20"/>
          <w:szCs w:val="20"/>
        </w:rPr>
      </w:pPr>
      <w:r w:rsidRPr="00983950">
        <w:rPr>
          <w:rFonts w:ascii="Arial" w:hAnsi="Arial" w:cs="Arial"/>
          <w:b/>
          <w:bCs/>
          <w:i/>
          <w:iCs/>
          <w:kern w:val="1"/>
          <w:sz w:val="20"/>
          <w:szCs w:val="20"/>
        </w:rPr>
        <w:t>Nerovné postavení:</w:t>
      </w:r>
    </w:p>
    <w:p w:rsidR="00843F37" w:rsidRPr="00983950" w:rsidRDefault="00843F37" w:rsidP="007D50F0">
      <w:pPr>
        <w:pStyle w:val="WW-Vchoz"/>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Lines="100"/>
        <w:jc w:val="both"/>
        <w:rPr>
          <w:rFonts w:ascii="Arial" w:eastAsia="Avenir Next Demi Bold" w:hAnsi="Arial" w:cs="Arial"/>
          <w:b/>
          <w:bCs/>
          <w:kern w:val="1"/>
          <w:sz w:val="20"/>
          <w:szCs w:val="20"/>
        </w:rPr>
      </w:pPr>
      <w:r w:rsidRPr="00983950">
        <w:rPr>
          <w:rFonts w:ascii="Arial" w:hAnsi="Arial" w:cs="Arial"/>
          <w:i/>
          <w:iCs/>
          <w:kern w:val="1"/>
          <w:sz w:val="20"/>
          <w:szCs w:val="20"/>
        </w:rPr>
        <w:t>„Celý systém obchodování s řetězci je ten, že oni nám předurčují a staví podmínky, které my musíme dodržovat, bez pardonu. Neexistuje, že bychom udělali chybu, to je hned pokuta. (…) Ale když se stane chyba na druhé straně, tak pro ně neplatí nic, oni nic nemusí.“</w:t>
      </w:r>
    </w:p>
    <w:p w:rsidR="00843F37" w:rsidRPr="00983950" w:rsidRDefault="00E9493A" w:rsidP="00843F37">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both"/>
        <w:rPr>
          <w:rFonts w:ascii="Arial" w:hAnsi="Arial" w:cs="Arial"/>
          <w:b/>
          <w:bCs/>
          <w:i/>
          <w:iCs/>
          <w:kern w:val="1"/>
          <w:sz w:val="20"/>
          <w:szCs w:val="20"/>
        </w:rPr>
      </w:pPr>
      <w:r w:rsidRPr="00983950">
        <w:rPr>
          <w:rFonts w:ascii="Arial" w:hAnsi="Arial" w:cs="Arial"/>
          <w:b/>
          <w:bCs/>
          <w:i/>
          <w:iCs/>
          <w:kern w:val="1"/>
          <w:sz w:val="20"/>
          <w:szCs w:val="20"/>
        </w:rPr>
        <w:t>Kvalita potravin:</w:t>
      </w:r>
    </w:p>
    <w:p w:rsidR="00843F37" w:rsidRPr="00983950" w:rsidRDefault="00843F37" w:rsidP="00D46B4C">
      <w:pPr>
        <w:pStyle w:val="WW-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Lines="200"/>
        <w:jc w:val="both"/>
        <w:rPr>
          <w:rFonts w:ascii="Arial" w:eastAsia="Avenir Next Demi Bold" w:hAnsi="Arial" w:cs="Arial"/>
          <w:i/>
          <w:kern w:val="1"/>
          <w:sz w:val="20"/>
          <w:szCs w:val="20"/>
        </w:rPr>
      </w:pPr>
      <w:r w:rsidRPr="00983950">
        <w:rPr>
          <w:rFonts w:ascii="Arial" w:hAnsi="Arial" w:cs="Arial"/>
          <w:i/>
          <w:kern w:val="1"/>
          <w:sz w:val="20"/>
          <w:szCs w:val="20"/>
        </w:rPr>
        <w:t>“Pointa v podstatě je, že síla řetězců a tedy jejich neadekvátní marže, vede k vyšším cenám a k výraznému snížení kvality prodávaných produktů - potravin zejména.”</w:t>
      </w:r>
    </w:p>
    <w:sectPr w:rsidR="00843F37" w:rsidRPr="00983950" w:rsidSect="00843F37">
      <w:headerReference w:type="default" r:id="rId10"/>
      <w:footerReference w:type="default" r:id="rId11"/>
      <w:pgSz w:w="11906" w:h="16838"/>
      <w:pgMar w:top="215" w:right="1417" w:bottom="1417" w:left="1417" w:header="708"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93" w:rsidRDefault="005A6C93" w:rsidP="00FF29C9">
      <w:r>
        <w:separator/>
      </w:r>
    </w:p>
  </w:endnote>
  <w:endnote w:type="continuationSeparator" w:id="0">
    <w:p w:rsidR="005A6C93" w:rsidRDefault="005A6C93" w:rsidP="00FF2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venir Next Regular">
    <w:altName w:val="Times New Roman"/>
    <w:charset w:val="00"/>
    <w:family w:val="roman"/>
    <w:pitch w:val="default"/>
    <w:sig w:usb0="00000000" w:usb1="00000000" w:usb2="00000000" w:usb3="00000000" w:csb0="00000000" w:csb1="00000000"/>
  </w:font>
  <w:font w:name="Avenir Next Demi Bold">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9" w:rsidRPr="00FF29C9" w:rsidRDefault="00BD0149" w:rsidP="00420AF0">
    <w:pPr>
      <w:pStyle w:val="Zpat"/>
      <w:ind w:left="-851" w:right="-738"/>
      <w:rPr>
        <w:sz w:val="24"/>
        <w:szCs w:val="24"/>
      </w:rPr>
    </w:pPr>
    <w:r>
      <w:rPr>
        <w:noProof/>
        <w:sz w:val="24"/>
        <w:szCs w:val="24"/>
        <w:lang w:eastAsia="cs-CZ"/>
      </w:rPr>
      <w:drawing>
        <wp:inline distT="0" distB="0" distL="0" distR="0">
          <wp:extent cx="1490774" cy="991365"/>
          <wp:effectExtent l="19050" t="0" r="0" b="0"/>
          <wp:docPr id="2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490513" cy="991192"/>
                  </a:xfrm>
                  <a:prstGeom prst="rect">
                    <a:avLst/>
                  </a:prstGeom>
                  <a:noFill/>
                  <a:ln w="9525">
                    <a:noFill/>
                    <a:miter lim="800000"/>
                    <a:headEnd/>
                    <a:tailEnd/>
                  </a:ln>
                </pic:spPr>
              </pic:pic>
            </a:graphicData>
          </a:graphic>
        </wp:inline>
      </w:drawing>
    </w:r>
    <w:r w:rsidR="00D46B4C">
      <w:rPr>
        <w:noProof/>
        <w:sz w:val="24"/>
        <w:szCs w:val="24"/>
        <w:lang w:eastAsia="cs-CZ"/>
      </w:rPr>
      <w:pict>
        <v:shapetype id="_x0000_t202" coordsize="21600,21600" o:spt="202" path="m,l,21600r21600,l21600,xe">
          <v:stroke joinstyle="miter"/>
          <v:path gradientshapeok="t" o:connecttype="rect"/>
        </v:shapetype>
        <v:shape id="Text Box 6" o:spid="_x0000_s4097" type="#_x0000_t202" style="position:absolute;left:0;text-align:left;margin-left:210.65pt;margin-top:25.4pt;width:250.1pt;height:60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ZxgwIAABA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" stroked="f">
          <v:textbox>
            <w:txbxContent>
              <w:p w:rsidR="008818CF" w:rsidRPr="00843F37" w:rsidRDefault="008818CF" w:rsidP="008818CF">
                <w:pPr>
                  <w:jc w:val="both"/>
                  <w:rPr>
                    <w:sz w:val="16"/>
                    <w:szCs w:val="16"/>
                    <w:lang w:val="cs-CZ"/>
                  </w:rPr>
                </w:pPr>
                <w:r w:rsidRPr="00843F37">
                  <w:rPr>
                    <w:sz w:val="16"/>
                    <w:szCs w:val="16"/>
                    <w:lang w:val="cs-CZ"/>
                  </w:rPr>
                  <w:t>Výzkum byl podpořen z prostředků Evropské unie. Obsah je zcela na odpovědnosti Ekumenické akademie a jako takový nemůže být považován za stanovisko Evropské unie. Dále byl podpořen z prostředků České rozvojové agentury a Ministerstva zahraničních věcí ČR v rámci Programu zahraniční rozvojové spolupráce ČR.</w:t>
                </w:r>
              </w:p>
            </w:txbxContent>
          </v:textbox>
        </v:shape>
      </w:pict>
    </w:r>
    <w:r w:rsidR="00420AF0">
      <w:rPr>
        <w:sz w:val="24"/>
        <w:szCs w:val="24"/>
      </w:rPr>
      <w:t xml:space="preserve">        </w:t>
    </w:r>
    <w:r w:rsidR="008818CF">
      <w:rPr>
        <w:sz w:val="24"/>
        <w:szCs w:val="24"/>
      </w:rPr>
      <w:t xml:space="preserve">           </w:t>
    </w:r>
    <w:r w:rsidR="00420AF0">
      <w:rPr>
        <w:sz w:val="24"/>
        <w:szCs w:val="24"/>
      </w:rPr>
      <w:t xml:space="preserve">      </w:t>
    </w:r>
    <w:r w:rsidR="00994024">
      <w:rPr>
        <w:noProof/>
        <w:lang w:eastAsia="cs-CZ"/>
      </w:rPr>
      <w:drawing>
        <wp:inline distT="0" distB="0" distL="0" distR="0">
          <wp:extent cx="810289" cy="553414"/>
          <wp:effectExtent l="19050" t="0" r="8861" b="0"/>
          <wp:docPr id="24" name="irc_mi" descr="http://www.invega.lt/site/images/nuotraukos/ES_log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vega.lt/site/images/nuotraukos/ES_logo/EU.jpg"/>
                  <pic:cNvPicPr>
                    <a:picLocks noChangeAspect="1" noChangeArrowheads="1"/>
                  </pic:cNvPicPr>
                </pic:nvPicPr>
                <pic:blipFill>
                  <a:blip r:embed="rId2"/>
                  <a:srcRect/>
                  <a:stretch>
                    <a:fillRect/>
                  </a:stretch>
                </pic:blipFill>
                <pic:spPr bwMode="auto">
                  <a:xfrm>
                    <a:off x="0" y="0"/>
                    <a:ext cx="810762" cy="553737"/>
                  </a:xfrm>
                  <a:prstGeom prst="rect">
                    <a:avLst/>
                  </a:prstGeom>
                  <a:noFill/>
                  <a:ln w="9525">
                    <a:noFill/>
                    <a:miter lim="800000"/>
                    <a:headEnd/>
                    <a:tailEnd/>
                  </a:ln>
                </pic:spPr>
              </pic:pic>
            </a:graphicData>
          </a:graphic>
        </wp:inline>
      </w:drawing>
    </w:r>
    <w:r w:rsidR="00420AF0">
      <w:rPr>
        <w:sz w:val="24"/>
        <w:szCs w:val="24"/>
      </w:rPr>
      <w:t xml:space="preserve">                  </w:t>
    </w:r>
    <w:r w:rsidR="00E96BCA">
      <w:rPr>
        <w:sz w:val="24"/>
        <w:szCs w:val="24"/>
      </w:rPr>
      <w:t xml:space="preserve">                                                        </w:t>
    </w:r>
    <w:r w:rsidR="00420AF0">
      <w:rPr>
        <w:sz w:val="24"/>
        <w:szCs w:val="24"/>
      </w:rPr>
      <w:t xml:space="preserve">        </w:t>
    </w:r>
    <w:r w:rsidR="008818CF">
      <w:rPr>
        <w:sz w:val="24"/>
        <w:szCs w:val="24"/>
      </w:rPr>
      <w:t xml:space="preserve">          </w:t>
    </w:r>
    <w:r w:rsidR="008818CF">
      <w:rPr>
        <w:noProof/>
        <w:sz w:val="24"/>
        <w:szCs w:val="24"/>
        <w:lang w:eastAsia="cs-CZ"/>
      </w:rPr>
      <w:t xml:space="preserve">     </w:t>
    </w:r>
    <w:r w:rsidR="00843F37">
      <w:rPr>
        <w:noProof/>
        <w:sz w:val="24"/>
        <w:szCs w:val="24"/>
        <w:lang w:eastAsia="cs-CZ"/>
      </w:rPr>
      <w:t xml:space="preserve">                                                         </w:t>
    </w:r>
    <w:r w:rsidR="00C016FC">
      <w:rPr>
        <w:noProof/>
        <w:sz w:val="24"/>
        <w:szCs w:val="24"/>
        <w:lang w:eastAsia="cs-CZ"/>
      </w:rPr>
      <w:drawing>
        <wp:inline distT="0" distB="0" distL="0" distR="0">
          <wp:extent cx="1745955" cy="534535"/>
          <wp:effectExtent l="19050" t="0" r="6645" b="0"/>
          <wp:docPr id="2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756110" cy="53764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93" w:rsidRDefault="005A6C93" w:rsidP="00FF29C9">
      <w:r>
        <w:separator/>
      </w:r>
    </w:p>
  </w:footnote>
  <w:footnote w:type="continuationSeparator" w:id="0">
    <w:p w:rsidR="005A6C93" w:rsidRDefault="005A6C93" w:rsidP="00FF2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C9" w:rsidRDefault="001A73F0" w:rsidP="00BD0149">
    <w:pPr>
      <w:pStyle w:val="Zhlav"/>
      <w:ind w:left="-851"/>
      <w:jc w:val="right"/>
      <w:rPr>
        <w:sz w:val="24"/>
        <w:szCs w:val="24"/>
      </w:rPr>
    </w:pPr>
    <w:r w:rsidRPr="001A73F0">
      <w:rPr>
        <w:noProof/>
        <w:lang w:eastAsia="cs-CZ"/>
      </w:rPr>
      <w:drawing>
        <wp:inline distT="0" distB="0" distL="0" distR="0">
          <wp:extent cx="2192522" cy="986493"/>
          <wp:effectExtent l="19050" t="0" r="0" b="0"/>
          <wp:docPr id="2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06839" cy="992935"/>
                  </a:xfrm>
                  <a:prstGeom prst="rect">
                    <a:avLst/>
                  </a:prstGeom>
                  <a:noFill/>
                  <a:ln w="9525">
                    <a:noFill/>
                    <a:miter lim="800000"/>
                    <a:headEnd/>
                    <a:tailEnd/>
                  </a:ln>
                </pic:spPr>
              </pic:pic>
            </a:graphicData>
          </a:graphic>
        </wp:inline>
      </w:drawing>
    </w:r>
    <w:r w:rsidR="00BD0149">
      <w:rPr>
        <w:noProof/>
        <w:lang w:eastAsia="cs-CZ"/>
      </w:rPr>
      <w:t xml:space="preserve">                                           </w:t>
    </w:r>
    <w:r w:rsidR="003113B0" w:rsidRPr="001A73F0">
      <w:rPr>
        <w:noProof/>
        <w:sz w:val="24"/>
        <w:szCs w:val="24"/>
        <w:lang w:eastAsia="cs-CZ"/>
      </w:rPr>
      <w:drawing>
        <wp:inline distT="0" distB="0" distL="0" distR="0">
          <wp:extent cx="2500866" cy="634637"/>
          <wp:effectExtent l="19050" t="0" r="0" b="0"/>
          <wp:docPr id="22" name="irc_mi" descr="http://konecna.cz/wp-content/uploads/2014/04/Sn%C3%ADmek-obrazovky-2014-04-13-v%C2%A011.1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onecna.cz/wp-content/uploads/2014/04/Sn%C3%ADmek-obrazovky-2014-04-13-v%C2%A011.16.28.png"/>
                  <pic:cNvPicPr>
                    <a:picLocks noChangeAspect="1" noChangeArrowheads="1"/>
                  </pic:cNvPicPr>
                </pic:nvPicPr>
                <pic:blipFill>
                  <a:blip r:embed="rId2"/>
                  <a:srcRect/>
                  <a:stretch>
                    <a:fillRect/>
                  </a:stretch>
                </pic:blipFill>
                <pic:spPr bwMode="auto">
                  <a:xfrm>
                    <a:off x="0" y="0"/>
                    <a:ext cx="2527131" cy="64130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F29C9"/>
    <w:rsid w:val="000C12C8"/>
    <w:rsid w:val="000C3261"/>
    <w:rsid w:val="000D2045"/>
    <w:rsid w:val="00113596"/>
    <w:rsid w:val="00191127"/>
    <w:rsid w:val="001A73F0"/>
    <w:rsid w:val="002B4F39"/>
    <w:rsid w:val="00302A3B"/>
    <w:rsid w:val="003032AD"/>
    <w:rsid w:val="003113B0"/>
    <w:rsid w:val="003B1656"/>
    <w:rsid w:val="00411ECF"/>
    <w:rsid w:val="00420AF0"/>
    <w:rsid w:val="004A148D"/>
    <w:rsid w:val="004F0760"/>
    <w:rsid w:val="0052057B"/>
    <w:rsid w:val="005A187C"/>
    <w:rsid w:val="005A6C93"/>
    <w:rsid w:val="00620F71"/>
    <w:rsid w:val="006F05D5"/>
    <w:rsid w:val="007D50F0"/>
    <w:rsid w:val="007E5758"/>
    <w:rsid w:val="00821752"/>
    <w:rsid w:val="00843F37"/>
    <w:rsid w:val="00880938"/>
    <w:rsid w:val="008818CF"/>
    <w:rsid w:val="008F569A"/>
    <w:rsid w:val="00983950"/>
    <w:rsid w:val="00994024"/>
    <w:rsid w:val="00AE5F15"/>
    <w:rsid w:val="00B07CF6"/>
    <w:rsid w:val="00B238B8"/>
    <w:rsid w:val="00BB32E5"/>
    <w:rsid w:val="00BB5DA4"/>
    <w:rsid w:val="00BD0149"/>
    <w:rsid w:val="00BF618D"/>
    <w:rsid w:val="00C002E5"/>
    <w:rsid w:val="00C016FC"/>
    <w:rsid w:val="00C15430"/>
    <w:rsid w:val="00C41AB3"/>
    <w:rsid w:val="00C83F6F"/>
    <w:rsid w:val="00C859A0"/>
    <w:rsid w:val="00CD7294"/>
    <w:rsid w:val="00CE4C97"/>
    <w:rsid w:val="00D46B4C"/>
    <w:rsid w:val="00DC7582"/>
    <w:rsid w:val="00DE26FF"/>
    <w:rsid w:val="00E32CAA"/>
    <w:rsid w:val="00E4545D"/>
    <w:rsid w:val="00E9493A"/>
    <w:rsid w:val="00E96BCA"/>
    <w:rsid w:val="00F112B1"/>
    <w:rsid w:val="00F37D10"/>
    <w:rsid w:val="00F5148F"/>
    <w:rsid w:val="00F8100A"/>
    <w:rsid w:val="00FB76C6"/>
    <w:rsid w:val="00FF29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F37"/>
    <w:pPr>
      <w:suppressAutoHyphens/>
      <w:spacing w:after="0" w:line="240" w:lineRule="auto"/>
    </w:pPr>
    <w:rPr>
      <w:rFonts w:ascii="Times New Roman" w:eastAsia="Times New Roman" w:hAnsi="Times New Roman" w:cs="Times New Roman"/>
      <w:sz w:val="24"/>
      <w:szCs w:val="24"/>
      <w:lang w:val="en-US"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F29C9"/>
    <w:pPr>
      <w:tabs>
        <w:tab w:val="center" w:pos="4536"/>
        <w:tab w:val="right" w:pos="9072"/>
      </w:tabs>
      <w:suppressAutoHyphens w:val="0"/>
    </w:pPr>
    <w:rPr>
      <w:rFonts w:asciiTheme="minorHAnsi" w:eastAsiaTheme="minorHAnsi" w:hAnsiTheme="minorHAnsi" w:cstheme="minorBidi"/>
      <w:sz w:val="22"/>
      <w:szCs w:val="22"/>
      <w:lang w:val="cs-CZ" w:eastAsia="en-US"/>
    </w:rPr>
  </w:style>
  <w:style w:type="character" w:customStyle="1" w:styleId="ZhlavChar">
    <w:name w:val="Záhlaví Char"/>
    <w:basedOn w:val="Standardnpsmoodstavce"/>
    <w:link w:val="Zhlav"/>
    <w:uiPriority w:val="99"/>
    <w:rsid w:val="00FF29C9"/>
  </w:style>
  <w:style w:type="paragraph" w:styleId="Zpat">
    <w:name w:val="footer"/>
    <w:basedOn w:val="Normln"/>
    <w:link w:val="ZpatChar"/>
    <w:uiPriority w:val="99"/>
    <w:unhideWhenUsed/>
    <w:rsid w:val="00FF29C9"/>
    <w:pPr>
      <w:tabs>
        <w:tab w:val="center" w:pos="4536"/>
        <w:tab w:val="right" w:pos="9072"/>
      </w:tabs>
      <w:suppressAutoHyphens w:val="0"/>
    </w:pPr>
    <w:rPr>
      <w:rFonts w:asciiTheme="minorHAnsi" w:eastAsiaTheme="minorHAnsi" w:hAnsiTheme="minorHAnsi" w:cstheme="minorBidi"/>
      <w:sz w:val="22"/>
      <w:szCs w:val="22"/>
      <w:lang w:val="cs-CZ" w:eastAsia="en-US"/>
    </w:rPr>
  </w:style>
  <w:style w:type="character" w:customStyle="1" w:styleId="ZpatChar">
    <w:name w:val="Zápatí Char"/>
    <w:basedOn w:val="Standardnpsmoodstavce"/>
    <w:link w:val="Zpat"/>
    <w:uiPriority w:val="99"/>
    <w:rsid w:val="00FF29C9"/>
  </w:style>
  <w:style w:type="paragraph" w:styleId="Textbubliny">
    <w:name w:val="Balloon Text"/>
    <w:basedOn w:val="Normln"/>
    <w:link w:val="TextbublinyChar"/>
    <w:uiPriority w:val="99"/>
    <w:semiHidden/>
    <w:unhideWhenUsed/>
    <w:rsid w:val="00FF29C9"/>
    <w:pPr>
      <w:suppressAutoHyphens w:val="0"/>
    </w:pPr>
    <w:rPr>
      <w:rFonts w:ascii="Tahoma" w:eastAsiaTheme="minorHAnsi" w:hAnsi="Tahoma" w:cs="Tahoma"/>
      <w:sz w:val="16"/>
      <w:szCs w:val="16"/>
      <w:lang w:val="cs-CZ" w:eastAsia="en-US"/>
    </w:rPr>
  </w:style>
  <w:style w:type="character" w:customStyle="1" w:styleId="TextbublinyChar">
    <w:name w:val="Text bubliny Char"/>
    <w:basedOn w:val="Standardnpsmoodstavce"/>
    <w:link w:val="Textbubliny"/>
    <w:uiPriority w:val="99"/>
    <w:semiHidden/>
    <w:rsid w:val="00FF29C9"/>
    <w:rPr>
      <w:rFonts w:ascii="Tahoma" w:hAnsi="Tahoma" w:cs="Tahoma"/>
      <w:sz w:val="16"/>
      <w:szCs w:val="16"/>
    </w:rPr>
  </w:style>
  <w:style w:type="paragraph" w:styleId="Bezmezer">
    <w:name w:val="No Spacing"/>
    <w:uiPriority w:val="1"/>
    <w:qFormat/>
    <w:rsid w:val="0052057B"/>
    <w:pPr>
      <w:spacing w:after="0" w:line="240" w:lineRule="auto"/>
    </w:pPr>
  </w:style>
  <w:style w:type="table" w:styleId="Mkatabulky">
    <w:name w:val="Table Grid"/>
    <w:basedOn w:val="Normlntabulka"/>
    <w:uiPriority w:val="59"/>
    <w:rsid w:val="00DC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rsid w:val="00843F37"/>
    <w:rPr>
      <w:u w:val="single"/>
    </w:rPr>
  </w:style>
  <w:style w:type="paragraph" w:customStyle="1" w:styleId="WW-Vchoz">
    <w:name w:val="WW-Výchozí"/>
    <w:rsid w:val="00843F37"/>
    <w:pPr>
      <w:suppressAutoHyphens/>
      <w:spacing w:after="0" w:line="240" w:lineRule="auto"/>
    </w:pPr>
    <w:rPr>
      <w:rFonts w:ascii="Helvetica" w:eastAsia="Arial Unicode MS" w:hAnsi="Helvetica" w:cs="Arial Unicode MS"/>
      <w:color w:val="000000"/>
      <w:lang w:eastAsia="ar-SA"/>
    </w:rPr>
  </w:style>
  <w:style w:type="character" w:styleId="Hypertextovodkaz">
    <w:name w:val="Hyperlink"/>
    <w:basedOn w:val="Standardnpsmoodstavce"/>
    <w:uiPriority w:val="99"/>
    <w:unhideWhenUsed/>
    <w:rsid w:val="003B1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F37"/>
    <w:pPr>
      <w:suppressAutoHyphens/>
      <w:spacing w:after="0" w:line="240" w:lineRule="auto"/>
    </w:pPr>
    <w:rPr>
      <w:rFonts w:ascii="Times New Roman" w:eastAsia="Times New Roman" w:hAnsi="Times New Roman" w:cs="Times New Roman"/>
      <w:sz w:val="24"/>
      <w:szCs w:val="24"/>
      <w:lang w:val="en-US"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F29C9"/>
    <w:pPr>
      <w:tabs>
        <w:tab w:val="center" w:pos="4536"/>
        <w:tab w:val="right" w:pos="9072"/>
      </w:tabs>
      <w:suppressAutoHyphens w:val="0"/>
    </w:pPr>
    <w:rPr>
      <w:rFonts w:asciiTheme="minorHAnsi" w:eastAsiaTheme="minorHAnsi" w:hAnsiTheme="minorHAnsi" w:cstheme="minorBidi"/>
      <w:sz w:val="22"/>
      <w:szCs w:val="22"/>
      <w:lang w:val="cs-CZ" w:eastAsia="en-US"/>
    </w:rPr>
  </w:style>
  <w:style w:type="character" w:customStyle="1" w:styleId="ZhlavChar">
    <w:name w:val="Záhlaví Char"/>
    <w:basedOn w:val="Standardnpsmoodstavce"/>
    <w:link w:val="Zhlav"/>
    <w:uiPriority w:val="99"/>
    <w:rsid w:val="00FF29C9"/>
  </w:style>
  <w:style w:type="paragraph" w:styleId="Zpat">
    <w:name w:val="footer"/>
    <w:basedOn w:val="Normln"/>
    <w:link w:val="ZpatChar"/>
    <w:uiPriority w:val="99"/>
    <w:unhideWhenUsed/>
    <w:rsid w:val="00FF29C9"/>
    <w:pPr>
      <w:tabs>
        <w:tab w:val="center" w:pos="4536"/>
        <w:tab w:val="right" w:pos="9072"/>
      </w:tabs>
      <w:suppressAutoHyphens w:val="0"/>
    </w:pPr>
    <w:rPr>
      <w:rFonts w:asciiTheme="minorHAnsi" w:eastAsiaTheme="minorHAnsi" w:hAnsiTheme="minorHAnsi" w:cstheme="minorBidi"/>
      <w:sz w:val="22"/>
      <w:szCs w:val="22"/>
      <w:lang w:val="cs-CZ" w:eastAsia="en-US"/>
    </w:rPr>
  </w:style>
  <w:style w:type="character" w:customStyle="1" w:styleId="ZpatChar">
    <w:name w:val="Zápatí Char"/>
    <w:basedOn w:val="Standardnpsmoodstavce"/>
    <w:link w:val="Zpat"/>
    <w:uiPriority w:val="99"/>
    <w:rsid w:val="00FF29C9"/>
  </w:style>
  <w:style w:type="paragraph" w:styleId="Textbubliny">
    <w:name w:val="Balloon Text"/>
    <w:basedOn w:val="Normln"/>
    <w:link w:val="TextbublinyChar"/>
    <w:uiPriority w:val="99"/>
    <w:semiHidden/>
    <w:unhideWhenUsed/>
    <w:rsid w:val="00FF29C9"/>
    <w:pPr>
      <w:suppressAutoHyphens w:val="0"/>
    </w:pPr>
    <w:rPr>
      <w:rFonts w:ascii="Tahoma" w:eastAsiaTheme="minorHAnsi" w:hAnsi="Tahoma" w:cs="Tahoma"/>
      <w:sz w:val="16"/>
      <w:szCs w:val="16"/>
      <w:lang w:val="cs-CZ" w:eastAsia="en-US"/>
    </w:rPr>
  </w:style>
  <w:style w:type="character" w:customStyle="1" w:styleId="TextbublinyChar">
    <w:name w:val="Text bubliny Char"/>
    <w:basedOn w:val="Standardnpsmoodstavce"/>
    <w:link w:val="Textbubliny"/>
    <w:uiPriority w:val="99"/>
    <w:semiHidden/>
    <w:rsid w:val="00FF29C9"/>
    <w:rPr>
      <w:rFonts w:ascii="Tahoma" w:hAnsi="Tahoma" w:cs="Tahoma"/>
      <w:sz w:val="16"/>
      <w:szCs w:val="16"/>
    </w:rPr>
  </w:style>
  <w:style w:type="paragraph" w:styleId="Bezmezer">
    <w:name w:val="No Spacing"/>
    <w:uiPriority w:val="1"/>
    <w:qFormat/>
    <w:rsid w:val="0052057B"/>
    <w:pPr>
      <w:spacing w:after="0" w:line="240" w:lineRule="auto"/>
    </w:pPr>
  </w:style>
  <w:style w:type="table" w:styleId="Mkatabulky">
    <w:name w:val="Table Grid"/>
    <w:basedOn w:val="Normlntabulka"/>
    <w:uiPriority w:val="59"/>
    <w:rsid w:val="00DC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843F37"/>
    <w:rPr>
      <w:u w:val="single"/>
    </w:rPr>
  </w:style>
  <w:style w:type="paragraph" w:customStyle="1" w:styleId="WW-Vchoz">
    <w:name w:val="WW-Výchozí"/>
    <w:rsid w:val="00843F37"/>
    <w:pPr>
      <w:suppressAutoHyphens/>
      <w:spacing w:after="0" w:line="240" w:lineRule="auto"/>
    </w:pPr>
    <w:rPr>
      <w:rFonts w:ascii="Helvetica" w:eastAsia="Arial Unicode MS" w:hAnsi="Helvetica" w:cs="Arial Unicode MS"/>
      <w:color w:val="000000"/>
      <w:lang w:eastAsia="ar-SA"/>
    </w:rPr>
  </w:style>
  <w:style w:type="character" w:styleId="Hypertextovodkaz">
    <w:name w:val="Hyperlink"/>
    <w:basedOn w:val="Standardnpsmoodstavce"/>
    <w:uiPriority w:val="99"/>
    <w:unhideWhenUsed/>
    <w:rsid w:val="003B16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imfairtrade.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n.sturma@ekumakad.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ora.mrazkova@ekumakad.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kumakad.cz/"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934</Words>
  <Characters>5514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CZU</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Veronika</cp:lastModifiedBy>
  <cp:revision>4</cp:revision>
  <dcterms:created xsi:type="dcterms:W3CDTF">2015-06-24T23:21:00Z</dcterms:created>
  <dcterms:modified xsi:type="dcterms:W3CDTF">2015-06-29T12:17:00Z</dcterms:modified>
</cp:coreProperties>
</file>